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07C7" w14:textId="20FA9C73" w:rsidR="00847B39" w:rsidRDefault="00D52446" w:rsidP="00BE51AB">
      <w:pPr>
        <w:jc w:val="center"/>
        <w:rPr>
          <w:rFonts w:asciiTheme="majorBidi" w:hAnsiTheme="majorBidi" w:cstheme="majorBidi"/>
          <w:sz w:val="24"/>
          <w:szCs w:val="24"/>
        </w:rPr>
      </w:pPr>
      <w:r>
        <w:rPr>
          <w:rFonts w:asciiTheme="majorBidi" w:hAnsiTheme="majorBidi" w:cstheme="majorBidi"/>
          <w:sz w:val="24"/>
          <w:szCs w:val="24"/>
        </w:rPr>
        <w:t>TXT-2024-03 Updates</w:t>
      </w:r>
    </w:p>
    <w:p w14:paraId="1A2B699D" w14:textId="5EEA1D00" w:rsidR="00BE51AB" w:rsidRDefault="00BE51AB" w:rsidP="00BE51AB">
      <w:pPr>
        <w:jc w:val="center"/>
        <w:rPr>
          <w:rFonts w:asciiTheme="majorBidi" w:hAnsiTheme="majorBidi" w:cstheme="majorBidi"/>
          <w:sz w:val="24"/>
          <w:szCs w:val="24"/>
        </w:rPr>
      </w:pPr>
      <w:r>
        <w:rPr>
          <w:rFonts w:asciiTheme="majorBidi" w:hAnsiTheme="majorBidi" w:cstheme="majorBidi"/>
          <w:sz w:val="24"/>
          <w:szCs w:val="24"/>
        </w:rPr>
        <w:t>November 12</w:t>
      </w:r>
      <w:r w:rsidRPr="00BE51AB">
        <w:rPr>
          <w:rFonts w:asciiTheme="majorBidi" w:hAnsiTheme="majorBidi" w:cstheme="majorBidi"/>
          <w:sz w:val="24"/>
          <w:szCs w:val="24"/>
          <w:vertAlign w:val="superscript"/>
        </w:rPr>
        <w:t>th</w:t>
      </w:r>
      <w:r>
        <w:rPr>
          <w:rFonts w:asciiTheme="majorBidi" w:hAnsiTheme="majorBidi" w:cstheme="majorBidi"/>
          <w:sz w:val="24"/>
          <w:szCs w:val="24"/>
        </w:rPr>
        <w:t xml:space="preserve"> 2024</w:t>
      </w:r>
    </w:p>
    <w:p w14:paraId="56676FBA" w14:textId="424498A2" w:rsidR="00AA726B" w:rsidRDefault="00AA726B" w:rsidP="00BE51AB">
      <w:pPr>
        <w:jc w:val="center"/>
        <w:rPr>
          <w:rFonts w:asciiTheme="majorBidi" w:hAnsiTheme="majorBidi" w:cstheme="majorBidi"/>
          <w:sz w:val="24"/>
          <w:szCs w:val="24"/>
        </w:rPr>
      </w:pPr>
      <w:r>
        <w:rPr>
          <w:rFonts w:asciiTheme="majorBidi" w:hAnsiTheme="majorBidi" w:cstheme="majorBidi"/>
          <w:sz w:val="24"/>
          <w:szCs w:val="24"/>
        </w:rPr>
        <w:t>LCBOC Main Session</w:t>
      </w:r>
    </w:p>
    <w:p w14:paraId="3521759F" w14:textId="77777777" w:rsidR="00D52446" w:rsidRDefault="00D52446" w:rsidP="00BE51AB">
      <w:pPr>
        <w:jc w:val="both"/>
        <w:rPr>
          <w:rFonts w:asciiTheme="majorBidi" w:hAnsiTheme="majorBidi" w:cstheme="majorBidi"/>
          <w:sz w:val="24"/>
          <w:szCs w:val="24"/>
        </w:rPr>
      </w:pPr>
    </w:p>
    <w:p w14:paraId="1E4078DC" w14:textId="2A338CAD" w:rsidR="00897827" w:rsidRDefault="00897827" w:rsidP="00897827">
      <w:pPr>
        <w:jc w:val="both"/>
        <w:rPr>
          <w:rFonts w:asciiTheme="majorBidi" w:hAnsiTheme="majorBidi" w:cstheme="majorBidi"/>
          <w:sz w:val="24"/>
          <w:szCs w:val="24"/>
        </w:rPr>
      </w:pPr>
      <w:r>
        <w:rPr>
          <w:rFonts w:asciiTheme="majorBidi" w:hAnsiTheme="majorBidi" w:cstheme="majorBidi"/>
          <w:sz w:val="24"/>
          <w:szCs w:val="24"/>
        </w:rPr>
        <w:t>Private Water Systems</w:t>
      </w:r>
    </w:p>
    <w:p w14:paraId="0377D975" w14:textId="5FFE229E" w:rsidR="001C3294" w:rsidRPr="00C34220" w:rsidRDefault="00897827" w:rsidP="00C34220">
      <w:pPr>
        <w:pStyle w:val="ListParagraph"/>
        <w:numPr>
          <w:ilvl w:val="0"/>
          <w:numId w:val="4"/>
        </w:numPr>
        <w:jc w:val="both"/>
        <w:rPr>
          <w:rFonts w:asciiTheme="majorBidi" w:hAnsiTheme="majorBidi" w:cstheme="majorBidi"/>
          <w:sz w:val="24"/>
          <w:szCs w:val="24"/>
        </w:rPr>
      </w:pPr>
      <w:r w:rsidRPr="00C34220">
        <w:rPr>
          <w:rFonts w:asciiTheme="majorBidi" w:hAnsiTheme="majorBidi" w:cstheme="majorBidi"/>
          <w:sz w:val="24"/>
          <w:szCs w:val="24"/>
        </w:rPr>
        <w:t>Add the following language to</w:t>
      </w:r>
      <w:r w:rsidR="001C3294" w:rsidRPr="00C34220">
        <w:rPr>
          <w:rFonts w:asciiTheme="majorBidi" w:hAnsiTheme="majorBidi" w:cstheme="majorBidi"/>
          <w:sz w:val="24"/>
          <w:szCs w:val="24"/>
        </w:rPr>
        <w:t>:</w:t>
      </w:r>
    </w:p>
    <w:p w14:paraId="31E2649D" w14:textId="578C612C" w:rsidR="00897827" w:rsidRDefault="001C3294" w:rsidP="00433DE0">
      <w:pPr>
        <w:ind w:left="720"/>
        <w:jc w:val="both"/>
        <w:rPr>
          <w:rFonts w:asciiTheme="majorBidi" w:hAnsiTheme="majorBidi" w:cstheme="majorBidi"/>
          <w:sz w:val="24"/>
          <w:szCs w:val="24"/>
        </w:rPr>
      </w:pPr>
      <w:r>
        <w:rPr>
          <w:rFonts w:asciiTheme="majorBidi" w:hAnsiTheme="majorBidi" w:cstheme="majorBidi"/>
          <w:sz w:val="24"/>
          <w:szCs w:val="24"/>
        </w:rPr>
        <w:t>ULDC Section 6.03.03</w:t>
      </w:r>
      <w:r w:rsidR="002C2B8F">
        <w:rPr>
          <w:rFonts w:asciiTheme="majorBidi" w:hAnsiTheme="majorBidi" w:cstheme="majorBidi"/>
          <w:sz w:val="24"/>
          <w:szCs w:val="24"/>
        </w:rPr>
        <w:t xml:space="preserve"> Potable Water System Requirements</w:t>
      </w:r>
      <w:r w:rsidR="00897827">
        <w:rPr>
          <w:rFonts w:asciiTheme="majorBidi" w:hAnsiTheme="majorBidi" w:cstheme="majorBidi"/>
          <w:sz w:val="24"/>
          <w:szCs w:val="24"/>
        </w:rPr>
        <w:t xml:space="preserve"> </w:t>
      </w:r>
    </w:p>
    <w:p w14:paraId="285C9BC0" w14:textId="29BEBDE9" w:rsidR="0087597C" w:rsidRDefault="00B04BE5" w:rsidP="0087597C">
      <w:pPr>
        <w:ind w:left="1440"/>
        <w:jc w:val="both"/>
        <w:rPr>
          <w:rFonts w:asciiTheme="majorBidi" w:hAnsiTheme="majorBidi" w:cstheme="majorBidi"/>
          <w:sz w:val="24"/>
          <w:szCs w:val="24"/>
          <w:u w:val="single"/>
        </w:rPr>
      </w:pPr>
      <w:r>
        <w:rPr>
          <w:rFonts w:asciiTheme="majorBidi" w:hAnsiTheme="majorBidi" w:cstheme="majorBidi"/>
          <w:sz w:val="24"/>
          <w:szCs w:val="24"/>
          <w:u w:val="single"/>
        </w:rPr>
        <w:t xml:space="preserve">G. </w:t>
      </w:r>
      <w:r w:rsidR="00897827" w:rsidRPr="002C2B8F">
        <w:rPr>
          <w:rFonts w:asciiTheme="majorBidi" w:hAnsiTheme="majorBidi" w:cstheme="majorBidi"/>
          <w:sz w:val="24"/>
          <w:szCs w:val="24"/>
          <w:u w:val="single"/>
        </w:rPr>
        <w:t xml:space="preserve">All </w:t>
      </w:r>
      <w:r w:rsidR="00CD56DF" w:rsidRPr="00F731B9">
        <w:rPr>
          <w:rFonts w:asciiTheme="majorBidi" w:hAnsiTheme="majorBidi" w:cstheme="majorBidi"/>
          <w:sz w:val="24"/>
          <w:szCs w:val="24"/>
          <w:highlight w:val="yellow"/>
          <w:u w:val="single"/>
        </w:rPr>
        <w:t>new or expansions of</w:t>
      </w:r>
      <w:r w:rsidR="00CD56DF">
        <w:rPr>
          <w:rFonts w:asciiTheme="majorBidi" w:hAnsiTheme="majorBidi" w:cstheme="majorBidi"/>
          <w:sz w:val="24"/>
          <w:szCs w:val="24"/>
          <w:u w:val="single"/>
        </w:rPr>
        <w:t xml:space="preserve"> </w:t>
      </w:r>
      <w:r w:rsidR="00897827" w:rsidRPr="002C2B8F">
        <w:rPr>
          <w:rFonts w:asciiTheme="majorBidi" w:hAnsiTheme="majorBidi" w:cstheme="majorBidi"/>
          <w:sz w:val="24"/>
          <w:szCs w:val="24"/>
          <w:u w:val="single"/>
        </w:rPr>
        <w:t>private water systems are required to have</w:t>
      </w:r>
      <w:r w:rsidR="0008448C">
        <w:rPr>
          <w:rFonts w:asciiTheme="majorBidi" w:hAnsiTheme="majorBidi" w:cstheme="majorBidi"/>
          <w:sz w:val="24"/>
          <w:szCs w:val="24"/>
          <w:u w:val="single"/>
        </w:rPr>
        <w:t xml:space="preserve"> </w:t>
      </w:r>
      <w:r w:rsidR="00CD56DF" w:rsidRPr="00F731B9">
        <w:rPr>
          <w:rFonts w:asciiTheme="majorBidi" w:hAnsiTheme="majorBidi" w:cstheme="majorBidi"/>
          <w:sz w:val="24"/>
          <w:szCs w:val="24"/>
          <w:highlight w:val="yellow"/>
          <w:u w:val="single"/>
        </w:rPr>
        <w:t>permanent on-site</w:t>
      </w:r>
      <w:r w:rsidR="00CD56DF">
        <w:rPr>
          <w:rFonts w:asciiTheme="majorBidi" w:hAnsiTheme="majorBidi" w:cstheme="majorBidi"/>
          <w:sz w:val="24"/>
          <w:szCs w:val="24"/>
          <w:u w:val="single"/>
        </w:rPr>
        <w:t xml:space="preserve"> </w:t>
      </w:r>
      <w:r w:rsidR="00F40689">
        <w:rPr>
          <w:rFonts w:asciiTheme="majorBidi" w:hAnsiTheme="majorBidi" w:cstheme="majorBidi"/>
          <w:sz w:val="24"/>
          <w:szCs w:val="24"/>
          <w:u w:val="single"/>
        </w:rPr>
        <w:t>generator-based</w:t>
      </w:r>
      <w:r w:rsidR="00897827" w:rsidRPr="002C2B8F">
        <w:rPr>
          <w:rFonts w:asciiTheme="majorBidi" w:hAnsiTheme="majorBidi" w:cstheme="majorBidi"/>
          <w:sz w:val="24"/>
          <w:szCs w:val="24"/>
          <w:u w:val="single"/>
        </w:rPr>
        <w:t xml:space="preserve"> back-up power</w:t>
      </w:r>
      <w:r w:rsidR="00B661E2">
        <w:rPr>
          <w:rFonts w:asciiTheme="majorBidi" w:hAnsiTheme="majorBidi" w:cstheme="majorBidi"/>
          <w:sz w:val="24"/>
          <w:szCs w:val="24"/>
          <w:u w:val="single"/>
        </w:rPr>
        <w:t xml:space="preserve">.  The </w:t>
      </w:r>
      <w:r w:rsidR="00CD56DF" w:rsidRPr="00F731B9">
        <w:rPr>
          <w:rFonts w:asciiTheme="majorBidi" w:hAnsiTheme="majorBidi" w:cstheme="majorBidi"/>
          <w:sz w:val="24"/>
          <w:szCs w:val="24"/>
          <w:highlight w:val="yellow"/>
          <w:u w:val="single"/>
        </w:rPr>
        <w:t>permanent on-site</w:t>
      </w:r>
      <w:r w:rsidR="00CD56DF">
        <w:rPr>
          <w:rFonts w:asciiTheme="majorBidi" w:hAnsiTheme="majorBidi" w:cstheme="majorBidi"/>
          <w:sz w:val="24"/>
          <w:szCs w:val="24"/>
          <w:u w:val="single"/>
        </w:rPr>
        <w:t xml:space="preserve"> </w:t>
      </w:r>
      <w:r w:rsidR="00E606B9">
        <w:rPr>
          <w:rFonts w:asciiTheme="majorBidi" w:hAnsiTheme="majorBidi" w:cstheme="majorBidi"/>
          <w:sz w:val="24"/>
          <w:szCs w:val="24"/>
          <w:u w:val="single"/>
        </w:rPr>
        <w:t xml:space="preserve">generator-based </w:t>
      </w:r>
      <w:r w:rsidR="00B661E2">
        <w:rPr>
          <w:rFonts w:asciiTheme="majorBidi" w:hAnsiTheme="majorBidi" w:cstheme="majorBidi"/>
          <w:sz w:val="24"/>
          <w:szCs w:val="24"/>
          <w:u w:val="single"/>
        </w:rPr>
        <w:t xml:space="preserve">back-up power </w:t>
      </w:r>
      <w:r w:rsidR="00BB57DA">
        <w:rPr>
          <w:rFonts w:asciiTheme="majorBidi" w:hAnsiTheme="majorBidi" w:cstheme="majorBidi"/>
          <w:sz w:val="24"/>
          <w:szCs w:val="24"/>
          <w:u w:val="single"/>
        </w:rPr>
        <w:t xml:space="preserve">is required to be maintained and </w:t>
      </w:r>
      <w:r w:rsidR="000F3390">
        <w:rPr>
          <w:rFonts w:asciiTheme="majorBidi" w:hAnsiTheme="majorBidi" w:cstheme="majorBidi"/>
          <w:sz w:val="24"/>
          <w:szCs w:val="24"/>
          <w:u w:val="single"/>
        </w:rPr>
        <w:t xml:space="preserve">have the capability to </w:t>
      </w:r>
      <w:r w:rsidR="0018612F">
        <w:rPr>
          <w:rFonts w:asciiTheme="majorBidi" w:hAnsiTheme="majorBidi" w:cstheme="majorBidi"/>
          <w:sz w:val="24"/>
          <w:szCs w:val="24"/>
          <w:u w:val="single"/>
        </w:rPr>
        <w:t>con</w:t>
      </w:r>
      <w:r w:rsidR="00EF50E5">
        <w:rPr>
          <w:rFonts w:asciiTheme="majorBidi" w:hAnsiTheme="majorBidi" w:cstheme="majorBidi"/>
          <w:sz w:val="24"/>
          <w:szCs w:val="24"/>
          <w:u w:val="single"/>
        </w:rPr>
        <w:t xml:space="preserve">sistently </w:t>
      </w:r>
      <w:r w:rsidR="00BB57DA">
        <w:rPr>
          <w:rFonts w:asciiTheme="majorBidi" w:hAnsiTheme="majorBidi" w:cstheme="majorBidi"/>
          <w:sz w:val="24"/>
          <w:szCs w:val="24"/>
          <w:u w:val="single"/>
        </w:rPr>
        <w:t>serve the entire system</w:t>
      </w:r>
      <w:r w:rsidR="000F3390">
        <w:rPr>
          <w:rFonts w:asciiTheme="majorBidi" w:hAnsiTheme="majorBidi" w:cstheme="majorBidi"/>
          <w:sz w:val="24"/>
          <w:szCs w:val="24"/>
          <w:u w:val="single"/>
        </w:rPr>
        <w:t>.</w:t>
      </w:r>
    </w:p>
    <w:p w14:paraId="131E2D66" w14:textId="1339B836" w:rsidR="00B04BE5" w:rsidRDefault="00897827" w:rsidP="0087597C">
      <w:pPr>
        <w:ind w:left="1440"/>
        <w:jc w:val="both"/>
        <w:rPr>
          <w:rFonts w:asciiTheme="majorBidi" w:hAnsiTheme="majorBidi" w:cstheme="majorBidi"/>
          <w:sz w:val="24"/>
          <w:szCs w:val="24"/>
          <w:u w:val="single"/>
        </w:rPr>
      </w:pPr>
      <w:r w:rsidRPr="002C2B8F">
        <w:rPr>
          <w:rFonts w:asciiTheme="majorBidi" w:hAnsiTheme="majorBidi" w:cstheme="majorBidi"/>
          <w:sz w:val="24"/>
          <w:szCs w:val="24"/>
          <w:u w:val="single"/>
        </w:rPr>
        <w:t xml:space="preserve"> </w:t>
      </w:r>
    </w:p>
    <w:p w14:paraId="2A695814" w14:textId="60BCBCEE" w:rsidR="00897827" w:rsidRPr="00C34220" w:rsidRDefault="00462FDA" w:rsidP="00C34220">
      <w:pPr>
        <w:pStyle w:val="ListParagraph"/>
        <w:numPr>
          <w:ilvl w:val="0"/>
          <w:numId w:val="4"/>
        </w:numPr>
        <w:jc w:val="both"/>
        <w:rPr>
          <w:rFonts w:asciiTheme="majorBidi" w:hAnsiTheme="majorBidi" w:cstheme="majorBidi"/>
          <w:sz w:val="24"/>
          <w:szCs w:val="24"/>
          <w:u w:val="single"/>
        </w:rPr>
      </w:pPr>
      <w:r w:rsidRPr="00C34220">
        <w:rPr>
          <w:rFonts w:asciiTheme="majorBidi" w:hAnsiTheme="majorBidi" w:cstheme="majorBidi"/>
          <w:sz w:val="24"/>
          <w:szCs w:val="24"/>
        </w:rPr>
        <w:t>Section Headings Changes:</w:t>
      </w:r>
      <w:r w:rsidRPr="00C34220">
        <w:rPr>
          <w:rFonts w:asciiTheme="majorBidi" w:hAnsiTheme="majorBidi" w:cstheme="majorBidi"/>
          <w:sz w:val="24"/>
          <w:szCs w:val="24"/>
          <w:u w:val="single"/>
        </w:rPr>
        <w:t xml:space="preserve"> New Section </w:t>
      </w:r>
      <w:r w:rsidR="00201523" w:rsidRPr="00C34220">
        <w:rPr>
          <w:rFonts w:asciiTheme="majorBidi" w:hAnsiTheme="majorBidi" w:cstheme="majorBidi"/>
          <w:sz w:val="24"/>
          <w:szCs w:val="24"/>
          <w:u w:val="single"/>
        </w:rPr>
        <w:t>H</w:t>
      </w:r>
      <w:r w:rsidRPr="00C34220">
        <w:rPr>
          <w:rFonts w:asciiTheme="majorBidi" w:hAnsiTheme="majorBidi" w:cstheme="majorBidi"/>
          <w:sz w:val="24"/>
          <w:szCs w:val="24"/>
          <w:u w:val="single"/>
        </w:rPr>
        <w:t xml:space="preserve"> (Formerly G) and New Section I</w:t>
      </w:r>
    </w:p>
    <w:p w14:paraId="1144FA3C" w14:textId="77777777" w:rsidR="00897827" w:rsidRDefault="00897827" w:rsidP="00BE51AB">
      <w:pPr>
        <w:jc w:val="both"/>
        <w:rPr>
          <w:rFonts w:asciiTheme="majorBidi" w:hAnsiTheme="majorBidi" w:cstheme="majorBidi"/>
          <w:sz w:val="24"/>
          <w:szCs w:val="24"/>
        </w:rPr>
      </w:pPr>
    </w:p>
    <w:p w14:paraId="1D970975" w14:textId="14B2E973" w:rsidR="00D52446" w:rsidRDefault="000F45A3" w:rsidP="00BE51AB">
      <w:pPr>
        <w:jc w:val="both"/>
        <w:rPr>
          <w:rFonts w:asciiTheme="majorBidi" w:hAnsiTheme="majorBidi" w:cstheme="majorBidi"/>
          <w:sz w:val="24"/>
          <w:szCs w:val="24"/>
        </w:rPr>
      </w:pPr>
      <w:r>
        <w:rPr>
          <w:rFonts w:asciiTheme="majorBidi" w:hAnsiTheme="majorBidi" w:cstheme="majorBidi"/>
          <w:sz w:val="24"/>
          <w:szCs w:val="24"/>
        </w:rPr>
        <w:t>Tree Bank</w:t>
      </w:r>
    </w:p>
    <w:p w14:paraId="1A85FCE0" w14:textId="706EB81E" w:rsidR="00A33F24" w:rsidRDefault="00A33F24" w:rsidP="002170F8">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Reflect 4.07.07 throughout the draft document (At times referred to 4.02.07)</w:t>
      </w:r>
    </w:p>
    <w:p w14:paraId="38C0698A" w14:textId="4F3AB6DC" w:rsidR="002170F8" w:rsidRPr="00F851FE" w:rsidRDefault="00A464D2" w:rsidP="002170F8">
      <w:pPr>
        <w:pStyle w:val="ListParagraph"/>
        <w:numPr>
          <w:ilvl w:val="0"/>
          <w:numId w:val="1"/>
        </w:numPr>
        <w:jc w:val="both"/>
        <w:rPr>
          <w:rFonts w:asciiTheme="majorBidi" w:hAnsiTheme="majorBidi" w:cstheme="majorBidi"/>
          <w:sz w:val="24"/>
          <w:szCs w:val="24"/>
        </w:rPr>
      </w:pPr>
      <w:r w:rsidRPr="002170F8">
        <w:rPr>
          <w:rFonts w:asciiTheme="majorBidi" w:hAnsiTheme="majorBidi" w:cstheme="majorBidi"/>
          <w:sz w:val="24"/>
          <w:szCs w:val="24"/>
        </w:rPr>
        <w:t>Re</w:t>
      </w:r>
      <w:r w:rsidR="002170F8" w:rsidRPr="002170F8">
        <w:rPr>
          <w:rFonts w:asciiTheme="majorBidi" w:hAnsiTheme="majorBidi" w:cstheme="majorBidi"/>
          <w:sz w:val="24"/>
          <w:szCs w:val="24"/>
        </w:rPr>
        <w:t>-</w:t>
      </w:r>
      <w:r w:rsidRPr="002170F8">
        <w:rPr>
          <w:rFonts w:asciiTheme="majorBidi" w:hAnsiTheme="majorBidi" w:cstheme="majorBidi"/>
          <w:sz w:val="24"/>
          <w:szCs w:val="24"/>
        </w:rPr>
        <w:t xml:space="preserve">letter Sections 4.07.07 </w:t>
      </w:r>
      <w:r w:rsidRPr="002C2B8F">
        <w:rPr>
          <w:rFonts w:asciiTheme="majorBidi" w:hAnsiTheme="majorBidi" w:cstheme="majorBidi"/>
          <w:sz w:val="24"/>
          <w:szCs w:val="24"/>
          <w:u w:val="single"/>
        </w:rPr>
        <w:t>A</w:t>
      </w:r>
      <w:r w:rsidR="001467F6" w:rsidRPr="002170F8">
        <w:rPr>
          <w:rFonts w:asciiTheme="majorBidi" w:hAnsiTheme="majorBidi" w:cstheme="majorBidi"/>
          <w:sz w:val="24"/>
          <w:szCs w:val="24"/>
        </w:rPr>
        <w:t xml:space="preserve"> through </w:t>
      </w:r>
      <w:r w:rsidR="001467F6" w:rsidRPr="002C2B8F">
        <w:rPr>
          <w:rFonts w:asciiTheme="majorBidi" w:hAnsiTheme="majorBidi" w:cstheme="majorBidi"/>
          <w:sz w:val="24"/>
          <w:szCs w:val="24"/>
          <w:u w:val="single"/>
        </w:rPr>
        <w:t>H</w:t>
      </w:r>
    </w:p>
    <w:p w14:paraId="5B602BA9" w14:textId="74C69D44" w:rsidR="00F851FE" w:rsidRDefault="00F851FE" w:rsidP="002170F8">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Add </w:t>
      </w:r>
      <w:r w:rsidR="00495B23" w:rsidRPr="006174CE">
        <w:rPr>
          <w:rFonts w:asciiTheme="majorBidi" w:hAnsiTheme="majorBidi" w:cstheme="majorBidi"/>
          <w:sz w:val="24"/>
          <w:szCs w:val="24"/>
          <w:u w:val="single"/>
        </w:rPr>
        <w:t>the</w:t>
      </w:r>
      <w:r w:rsidR="00495B23">
        <w:rPr>
          <w:rFonts w:asciiTheme="majorBidi" w:hAnsiTheme="majorBidi" w:cstheme="majorBidi"/>
          <w:sz w:val="24"/>
          <w:szCs w:val="24"/>
        </w:rPr>
        <w:t xml:space="preserve"> to </w:t>
      </w:r>
      <w:r w:rsidR="00E36A80">
        <w:rPr>
          <w:rFonts w:asciiTheme="majorBidi" w:hAnsiTheme="majorBidi" w:cstheme="majorBidi"/>
          <w:sz w:val="24"/>
          <w:szCs w:val="24"/>
        </w:rPr>
        <w:t>4</w:t>
      </w:r>
      <w:r w:rsidR="006174CE">
        <w:rPr>
          <w:rFonts w:asciiTheme="majorBidi" w:hAnsiTheme="majorBidi" w:cstheme="majorBidi"/>
          <w:sz w:val="24"/>
          <w:szCs w:val="24"/>
        </w:rPr>
        <w:t>.07.07(H)(5)(a)</w:t>
      </w:r>
    </w:p>
    <w:p w14:paraId="1D07EA6F" w14:textId="2A0DB8FB" w:rsidR="00562474" w:rsidRDefault="00562474" w:rsidP="002170F8">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Reflect 9.02.02(B)(4) for the variance addition</w:t>
      </w:r>
    </w:p>
    <w:p w14:paraId="0A80AFB1" w14:textId="77777777" w:rsidR="00F731B9" w:rsidRPr="002170F8" w:rsidRDefault="00F731B9" w:rsidP="00F731B9">
      <w:pPr>
        <w:pStyle w:val="ListParagraph"/>
        <w:numPr>
          <w:ilvl w:val="0"/>
          <w:numId w:val="1"/>
        </w:numPr>
        <w:jc w:val="both"/>
        <w:rPr>
          <w:rFonts w:asciiTheme="majorBidi" w:hAnsiTheme="majorBidi" w:cstheme="majorBidi"/>
          <w:sz w:val="24"/>
          <w:szCs w:val="24"/>
        </w:rPr>
      </w:pPr>
      <w:r w:rsidRPr="002170F8">
        <w:rPr>
          <w:rFonts w:asciiTheme="majorBidi" w:hAnsiTheme="majorBidi" w:cstheme="majorBidi"/>
          <w:sz w:val="24"/>
          <w:szCs w:val="24"/>
        </w:rPr>
        <w:t>Replace 4.07.07 (D) with:</w:t>
      </w:r>
    </w:p>
    <w:p w14:paraId="1EBD61B4" w14:textId="77777777" w:rsidR="00F731B9" w:rsidRPr="00EC3494" w:rsidRDefault="00F731B9" w:rsidP="00F731B9">
      <w:pPr>
        <w:ind w:left="720"/>
        <w:jc w:val="both"/>
        <w:rPr>
          <w:rFonts w:asciiTheme="majorBidi" w:hAnsiTheme="majorBidi" w:cstheme="majorBidi"/>
          <w:sz w:val="24"/>
          <w:szCs w:val="24"/>
          <w:u w:val="single"/>
        </w:rPr>
      </w:pPr>
      <w:r w:rsidRPr="00EC3494">
        <w:rPr>
          <w:rFonts w:asciiTheme="majorBidi" w:hAnsiTheme="majorBidi" w:cstheme="majorBidi"/>
          <w:sz w:val="24"/>
          <w:szCs w:val="24"/>
          <w:u w:val="single"/>
        </w:rPr>
        <w:t xml:space="preserve">These regulations establish Protected Trees as any oak, bay, magnolia, or cypress tree measuring eight (8) inches in diameter at breast height (dbh) or greater.  Protected trees also include any other tree measuring twenty-four (24) inches dbh or greater.  </w:t>
      </w:r>
      <w:r>
        <w:rPr>
          <w:rFonts w:asciiTheme="majorBidi" w:hAnsiTheme="majorBidi" w:cstheme="majorBidi"/>
          <w:sz w:val="24"/>
          <w:szCs w:val="24"/>
          <w:u w:val="single"/>
        </w:rPr>
        <w:t>All p</w:t>
      </w:r>
      <w:r w:rsidRPr="00EC3494">
        <w:rPr>
          <w:rFonts w:asciiTheme="majorBidi" w:hAnsiTheme="majorBidi" w:cstheme="majorBidi"/>
          <w:sz w:val="24"/>
          <w:szCs w:val="24"/>
          <w:u w:val="single"/>
        </w:rPr>
        <w:t xml:space="preserve">ine </w:t>
      </w:r>
      <w:r w:rsidRPr="00F731B9">
        <w:rPr>
          <w:rFonts w:asciiTheme="majorBidi" w:hAnsiTheme="majorBidi" w:cstheme="majorBidi"/>
          <w:sz w:val="24"/>
          <w:szCs w:val="24"/>
          <w:highlight w:val="yellow"/>
          <w:u w:val="single"/>
        </w:rPr>
        <w:t>and pecan</w:t>
      </w:r>
      <w:r>
        <w:rPr>
          <w:rFonts w:asciiTheme="majorBidi" w:hAnsiTheme="majorBidi" w:cstheme="majorBidi"/>
          <w:sz w:val="24"/>
          <w:szCs w:val="24"/>
          <w:u w:val="single"/>
        </w:rPr>
        <w:t xml:space="preserve"> </w:t>
      </w:r>
      <w:r w:rsidRPr="00EC3494">
        <w:rPr>
          <w:rFonts w:asciiTheme="majorBidi" w:hAnsiTheme="majorBidi" w:cstheme="majorBidi"/>
          <w:sz w:val="24"/>
          <w:szCs w:val="24"/>
          <w:u w:val="single"/>
        </w:rPr>
        <w:t>trees</w:t>
      </w:r>
      <w:r>
        <w:rPr>
          <w:rFonts w:asciiTheme="majorBidi" w:hAnsiTheme="majorBidi" w:cstheme="majorBidi"/>
          <w:sz w:val="24"/>
          <w:szCs w:val="24"/>
          <w:u w:val="single"/>
        </w:rPr>
        <w:t>, even those over 24 inches dbh,</w:t>
      </w:r>
      <w:r w:rsidRPr="00EC3494">
        <w:rPr>
          <w:rFonts w:asciiTheme="majorBidi" w:hAnsiTheme="majorBidi" w:cstheme="majorBidi"/>
          <w:sz w:val="24"/>
          <w:szCs w:val="24"/>
          <w:u w:val="single"/>
        </w:rPr>
        <w:t xml:space="preserve"> are not considered protected trees. </w:t>
      </w:r>
    </w:p>
    <w:p w14:paraId="150BF3E6" w14:textId="59A47FCE" w:rsidR="008729D4" w:rsidRPr="008729D4" w:rsidRDefault="008729D4" w:rsidP="008729D4">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4.07.07(H)(</w:t>
      </w:r>
      <w:r>
        <w:rPr>
          <w:rFonts w:asciiTheme="majorBidi" w:hAnsiTheme="majorBidi" w:cstheme="majorBidi"/>
          <w:sz w:val="24"/>
          <w:szCs w:val="24"/>
        </w:rPr>
        <w:t>4</w:t>
      </w:r>
      <w:r>
        <w:rPr>
          <w:rFonts w:asciiTheme="majorBidi" w:hAnsiTheme="majorBidi" w:cstheme="majorBidi"/>
          <w:sz w:val="24"/>
          <w:szCs w:val="24"/>
        </w:rPr>
        <w:t>)(</w:t>
      </w:r>
      <w:r>
        <w:rPr>
          <w:rFonts w:asciiTheme="majorBidi" w:hAnsiTheme="majorBidi" w:cstheme="majorBidi"/>
          <w:sz w:val="24"/>
          <w:szCs w:val="24"/>
        </w:rPr>
        <w:t>f</w:t>
      </w:r>
      <w:r>
        <w:rPr>
          <w:rFonts w:asciiTheme="majorBidi" w:hAnsiTheme="majorBidi" w:cstheme="majorBidi"/>
          <w:sz w:val="24"/>
          <w:szCs w:val="24"/>
        </w:rPr>
        <w:t>)</w:t>
      </w:r>
      <w:r>
        <w:rPr>
          <w:rFonts w:asciiTheme="majorBidi" w:hAnsiTheme="majorBidi" w:cstheme="majorBidi"/>
          <w:sz w:val="24"/>
          <w:szCs w:val="24"/>
        </w:rPr>
        <w:t xml:space="preserve"> change streetscapes to </w:t>
      </w:r>
      <w:r w:rsidRPr="008729D4">
        <w:rPr>
          <w:rFonts w:asciiTheme="majorBidi" w:hAnsiTheme="majorBidi" w:cstheme="majorBidi"/>
          <w:sz w:val="24"/>
          <w:szCs w:val="24"/>
          <w:highlight w:val="yellow"/>
          <w:u w:val="single"/>
        </w:rPr>
        <w:t>landscaping</w:t>
      </w:r>
    </w:p>
    <w:p w14:paraId="6B7E31CC" w14:textId="5FA34146" w:rsidR="00094E11" w:rsidRPr="008729D4" w:rsidRDefault="00F731B9" w:rsidP="002170F8">
      <w:pPr>
        <w:pStyle w:val="ListParagraph"/>
        <w:numPr>
          <w:ilvl w:val="0"/>
          <w:numId w:val="1"/>
        </w:numPr>
        <w:jc w:val="both"/>
        <w:rPr>
          <w:rFonts w:asciiTheme="majorBidi" w:hAnsiTheme="majorBidi" w:cstheme="majorBidi"/>
          <w:sz w:val="24"/>
          <w:szCs w:val="24"/>
        </w:rPr>
      </w:pPr>
      <w:r w:rsidRPr="008729D4">
        <w:rPr>
          <w:rFonts w:asciiTheme="majorBidi" w:hAnsiTheme="majorBidi" w:cstheme="majorBidi"/>
          <w:sz w:val="24"/>
          <w:szCs w:val="24"/>
        </w:rPr>
        <w:t xml:space="preserve">Change 4.07.07(H)(4) to </w:t>
      </w:r>
      <w:r w:rsidRPr="008729D4">
        <w:rPr>
          <w:rFonts w:asciiTheme="majorBidi" w:hAnsiTheme="majorBidi" w:cstheme="majorBidi"/>
          <w:sz w:val="24"/>
          <w:szCs w:val="24"/>
          <w:highlight w:val="yellow"/>
        </w:rPr>
        <w:t>150”</w:t>
      </w:r>
    </w:p>
    <w:p w14:paraId="5792D227" w14:textId="6BACDC4D" w:rsidR="00167781" w:rsidRPr="008729D4" w:rsidRDefault="00F731B9" w:rsidP="00F731B9">
      <w:pPr>
        <w:pStyle w:val="ListParagraph"/>
        <w:ind w:left="1440"/>
        <w:jc w:val="both"/>
        <w:rPr>
          <w:rFonts w:asciiTheme="majorBidi" w:hAnsiTheme="majorBidi" w:cstheme="majorBidi"/>
          <w:sz w:val="24"/>
          <w:szCs w:val="24"/>
          <w:u w:val="single"/>
        </w:rPr>
      </w:pPr>
      <w:r w:rsidRPr="008729D4">
        <w:rPr>
          <w:rFonts w:asciiTheme="majorBidi" w:hAnsiTheme="majorBidi" w:cstheme="majorBidi"/>
          <w:sz w:val="24"/>
          <w:szCs w:val="24"/>
          <w:u w:val="single"/>
        </w:rPr>
        <w:t xml:space="preserve">For the purposes of this penalty calculation, a baseline of </w:t>
      </w:r>
      <w:r w:rsidRPr="008729D4">
        <w:rPr>
          <w:rFonts w:asciiTheme="majorBidi" w:hAnsiTheme="majorBidi" w:cstheme="majorBidi"/>
          <w:sz w:val="24"/>
          <w:szCs w:val="24"/>
          <w:highlight w:val="yellow"/>
          <w:u w:val="single"/>
        </w:rPr>
        <w:t>one-hundred and fifty inches (150”)</w:t>
      </w:r>
      <w:r w:rsidRPr="008729D4">
        <w:rPr>
          <w:rFonts w:asciiTheme="majorBidi" w:hAnsiTheme="majorBidi" w:cstheme="majorBidi"/>
          <w:sz w:val="24"/>
          <w:szCs w:val="24"/>
          <w:u w:val="single"/>
        </w:rPr>
        <w:t xml:space="preserve"> of Protected Trees per acre shall be applied. </w:t>
      </w:r>
    </w:p>
    <w:p w14:paraId="61EC8D22" w14:textId="1B2CC37C" w:rsidR="00167781" w:rsidRPr="00120A43" w:rsidRDefault="00167781" w:rsidP="0016778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4.07.07(H)(5)(</w:t>
      </w:r>
      <w:r>
        <w:rPr>
          <w:rFonts w:asciiTheme="majorBidi" w:hAnsiTheme="majorBidi" w:cstheme="majorBidi"/>
          <w:sz w:val="24"/>
          <w:szCs w:val="24"/>
        </w:rPr>
        <w:t xml:space="preserve">b) change </w:t>
      </w:r>
      <w:r w:rsidR="00C34220">
        <w:rPr>
          <w:rFonts w:asciiTheme="majorBidi" w:hAnsiTheme="majorBidi" w:cstheme="majorBidi"/>
          <w:sz w:val="24"/>
          <w:szCs w:val="24"/>
        </w:rPr>
        <w:t xml:space="preserve">an </w:t>
      </w:r>
      <w:r>
        <w:rPr>
          <w:rFonts w:asciiTheme="majorBidi" w:hAnsiTheme="majorBidi" w:cstheme="majorBidi"/>
          <w:sz w:val="24"/>
          <w:szCs w:val="24"/>
        </w:rPr>
        <w:t xml:space="preserve">enterprise account to </w:t>
      </w:r>
      <w:r w:rsidR="00C34220" w:rsidRPr="00C34220">
        <w:rPr>
          <w:rFonts w:asciiTheme="majorBidi" w:hAnsiTheme="majorBidi" w:cstheme="majorBidi"/>
          <w:sz w:val="24"/>
          <w:szCs w:val="24"/>
          <w:highlight w:val="yellow"/>
          <w:u w:val="single"/>
        </w:rPr>
        <w:t>a</w:t>
      </w:r>
      <w:r w:rsidR="00C34220" w:rsidRPr="00C34220">
        <w:rPr>
          <w:rFonts w:asciiTheme="majorBidi" w:hAnsiTheme="majorBidi" w:cstheme="majorBidi"/>
          <w:sz w:val="24"/>
          <w:szCs w:val="24"/>
          <w:u w:val="single"/>
        </w:rPr>
        <w:t xml:space="preserve"> </w:t>
      </w:r>
      <w:r w:rsidRPr="00167781">
        <w:rPr>
          <w:rFonts w:asciiTheme="majorBidi" w:hAnsiTheme="majorBidi" w:cstheme="majorBidi"/>
          <w:sz w:val="24"/>
          <w:szCs w:val="24"/>
          <w:highlight w:val="yellow"/>
          <w:u w:val="single"/>
        </w:rPr>
        <w:t>fund</w:t>
      </w:r>
    </w:p>
    <w:p w14:paraId="2BB3B6B0" w14:textId="77777777" w:rsidR="00120A43" w:rsidRPr="00167781" w:rsidRDefault="00120A43" w:rsidP="00120A43">
      <w:pPr>
        <w:pStyle w:val="ListParagraph"/>
        <w:jc w:val="both"/>
        <w:rPr>
          <w:rFonts w:asciiTheme="majorBidi" w:hAnsiTheme="majorBidi" w:cstheme="majorBidi"/>
          <w:sz w:val="24"/>
          <w:szCs w:val="24"/>
        </w:rPr>
      </w:pPr>
    </w:p>
    <w:p w14:paraId="7D3FD367" w14:textId="618C6431" w:rsidR="00F731B9" w:rsidRPr="008729D4" w:rsidRDefault="00F731B9" w:rsidP="00F731B9">
      <w:pPr>
        <w:pStyle w:val="ListParagraph"/>
        <w:numPr>
          <w:ilvl w:val="0"/>
          <w:numId w:val="1"/>
        </w:numPr>
        <w:jc w:val="both"/>
        <w:rPr>
          <w:rFonts w:asciiTheme="majorBidi" w:hAnsiTheme="majorBidi" w:cstheme="majorBidi"/>
          <w:sz w:val="24"/>
          <w:szCs w:val="24"/>
        </w:rPr>
      </w:pPr>
      <w:r w:rsidRPr="008729D4">
        <w:rPr>
          <w:rFonts w:asciiTheme="majorBidi" w:hAnsiTheme="majorBidi" w:cstheme="majorBidi"/>
          <w:sz w:val="24"/>
          <w:szCs w:val="24"/>
        </w:rPr>
        <w:t xml:space="preserve">Staff has also reviewed </w:t>
      </w:r>
      <w:r w:rsidRPr="008729D4">
        <w:rPr>
          <w:rFonts w:asciiTheme="majorBidi" w:hAnsiTheme="majorBidi" w:cstheme="majorBidi"/>
          <w:sz w:val="24"/>
          <w:szCs w:val="24"/>
          <w:highlight w:val="yellow"/>
        </w:rPr>
        <w:t>projects that are in process</w:t>
      </w:r>
      <w:r w:rsidRPr="008729D4">
        <w:rPr>
          <w:rFonts w:asciiTheme="majorBidi" w:hAnsiTheme="majorBidi" w:cstheme="majorBidi"/>
          <w:sz w:val="24"/>
          <w:szCs w:val="24"/>
        </w:rPr>
        <w:t xml:space="preserve"> under the current regulations and enforcement.  The plan is to offer these projects </w:t>
      </w:r>
      <w:r w:rsidRPr="008729D4">
        <w:rPr>
          <w:rFonts w:asciiTheme="majorBidi" w:hAnsiTheme="majorBidi" w:cstheme="majorBidi"/>
          <w:sz w:val="24"/>
          <w:szCs w:val="24"/>
          <w:highlight w:val="yellow"/>
        </w:rPr>
        <w:t>use of the current enforcement count (Oaks only) and</w:t>
      </w:r>
      <w:r w:rsidR="008729D4">
        <w:rPr>
          <w:rFonts w:asciiTheme="majorBidi" w:hAnsiTheme="majorBidi" w:cstheme="majorBidi"/>
          <w:sz w:val="24"/>
          <w:szCs w:val="24"/>
          <w:highlight w:val="yellow"/>
        </w:rPr>
        <w:t>/or</w:t>
      </w:r>
      <w:r w:rsidRPr="008729D4">
        <w:rPr>
          <w:rFonts w:asciiTheme="majorBidi" w:hAnsiTheme="majorBidi" w:cstheme="majorBidi"/>
          <w:sz w:val="24"/>
          <w:szCs w:val="24"/>
          <w:highlight w:val="yellow"/>
        </w:rPr>
        <w:t xml:space="preserve"> up to a 50% variance option.</w:t>
      </w:r>
      <w:r w:rsidRPr="008729D4">
        <w:rPr>
          <w:rFonts w:asciiTheme="majorBidi" w:hAnsiTheme="majorBidi" w:cstheme="majorBidi"/>
          <w:sz w:val="24"/>
          <w:szCs w:val="24"/>
        </w:rPr>
        <w:t xml:space="preserve">  </w:t>
      </w:r>
    </w:p>
    <w:p w14:paraId="1D7B3A63" w14:textId="1B7BB2F8" w:rsidR="00120A43" w:rsidRDefault="00120A43" w:rsidP="00F731B9">
      <w:pPr>
        <w:pStyle w:val="ListParagraph"/>
        <w:jc w:val="both"/>
        <w:rPr>
          <w:rFonts w:asciiTheme="majorBidi" w:hAnsiTheme="majorBidi" w:cstheme="majorBidi"/>
          <w:sz w:val="24"/>
          <w:szCs w:val="24"/>
        </w:rPr>
      </w:pPr>
    </w:p>
    <w:p w14:paraId="1C50E744" w14:textId="56785127" w:rsidR="00120A43" w:rsidRDefault="00120A43" w:rsidP="00F731B9">
      <w:pPr>
        <w:pStyle w:val="ListParagraph"/>
        <w:jc w:val="both"/>
        <w:rPr>
          <w:rFonts w:asciiTheme="majorBidi" w:hAnsiTheme="majorBidi" w:cstheme="majorBidi"/>
          <w:sz w:val="24"/>
          <w:szCs w:val="24"/>
        </w:rPr>
      </w:pPr>
    </w:p>
    <w:p w14:paraId="60CE218E" w14:textId="77777777" w:rsidR="00AA726B" w:rsidRDefault="00AA726B" w:rsidP="00F731B9">
      <w:pPr>
        <w:pStyle w:val="ListParagraph"/>
        <w:jc w:val="both"/>
        <w:rPr>
          <w:rFonts w:asciiTheme="majorBidi" w:hAnsiTheme="majorBidi" w:cstheme="majorBidi"/>
          <w:sz w:val="24"/>
          <w:szCs w:val="24"/>
        </w:rPr>
      </w:pPr>
    </w:p>
    <w:p w14:paraId="50D0155F" w14:textId="738DA71D" w:rsidR="00DB33D6" w:rsidRPr="00F731B9" w:rsidRDefault="00F731B9" w:rsidP="00F731B9">
      <w:pPr>
        <w:pStyle w:val="ListParagraph"/>
        <w:jc w:val="both"/>
        <w:rPr>
          <w:rFonts w:asciiTheme="majorBidi" w:hAnsiTheme="majorBidi" w:cstheme="majorBidi"/>
          <w:sz w:val="24"/>
          <w:szCs w:val="24"/>
        </w:rPr>
      </w:pPr>
      <w:r>
        <w:rPr>
          <w:rFonts w:asciiTheme="majorBidi" w:hAnsiTheme="majorBidi" w:cstheme="majorBidi"/>
          <w:sz w:val="24"/>
          <w:szCs w:val="24"/>
        </w:rPr>
        <w:lastRenderedPageBreak/>
        <w:t xml:space="preserve">  </w:t>
      </w:r>
    </w:p>
    <w:p w14:paraId="3459DF8D" w14:textId="43E20469" w:rsidR="00696969" w:rsidRDefault="002C2B8F" w:rsidP="00BE51AB">
      <w:pPr>
        <w:jc w:val="both"/>
        <w:rPr>
          <w:rFonts w:asciiTheme="majorBidi" w:hAnsiTheme="majorBidi" w:cstheme="majorBidi"/>
          <w:sz w:val="24"/>
          <w:szCs w:val="24"/>
        </w:rPr>
      </w:pPr>
      <w:r>
        <w:rPr>
          <w:rFonts w:asciiTheme="majorBidi" w:hAnsiTheme="majorBidi" w:cstheme="majorBidi"/>
          <w:sz w:val="24"/>
          <w:szCs w:val="24"/>
        </w:rPr>
        <w:t>Minor Amendments</w:t>
      </w:r>
    </w:p>
    <w:p w14:paraId="5DDC067E" w14:textId="5D4DDDF2" w:rsidR="002C2B8F" w:rsidRPr="007E5878" w:rsidRDefault="00ED7870" w:rsidP="007E587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Correct</w:t>
      </w:r>
      <w:r w:rsidR="00EC3494">
        <w:rPr>
          <w:rFonts w:asciiTheme="majorBidi" w:hAnsiTheme="majorBidi" w:cstheme="majorBidi"/>
          <w:sz w:val="24"/>
          <w:szCs w:val="24"/>
        </w:rPr>
        <w:t xml:space="preserve">/Address typos, lettering, </w:t>
      </w:r>
      <w:r w:rsidR="00F731B9">
        <w:rPr>
          <w:rFonts w:asciiTheme="majorBidi" w:hAnsiTheme="majorBidi" w:cstheme="majorBidi"/>
          <w:sz w:val="24"/>
          <w:szCs w:val="24"/>
        </w:rPr>
        <w:t xml:space="preserve">bolding/unbolding, </w:t>
      </w:r>
      <w:r w:rsidR="00EC3494">
        <w:rPr>
          <w:rFonts w:asciiTheme="majorBidi" w:hAnsiTheme="majorBidi" w:cstheme="majorBidi"/>
          <w:sz w:val="24"/>
          <w:szCs w:val="24"/>
        </w:rPr>
        <w:t>numbering, pag</w:t>
      </w:r>
      <w:r>
        <w:rPr>
          <w:rFonts w:asciiTheme="majorBidi" w:hAnsiTheme="majorBidi" w:cstheme="majorBidi"/>
          <w:sz w:val="24"/>
          <w:szCs w:val="24"/>
        </w:rPr>
        <w:t xml:space="preserve">ination, headers, footers, tables of contents, etc.  </w:t>
      </w:r>
    </w:p>
    <w:p w14:paraId="395E4F1D" w14:textId="77777777" w:rsidR="00DB33D6" w:rsidRDefault="00DB33D6" w:rsidP="00BE51AB">
      <w:pPr>
        <w:jc w:val="both"/>
        <w:rPr>
          <w:rFonts w:asciiTheme="majorBidi" w:hAnsiTheme="majorBidi" w:cstheme="majorBidi"/>
          <w:sz w:val="24"/>
          <w:szCs w:val="24"/>
        </w:rPr>
      </w:pPr>
    </w:p>
    <w:p w14:paraId="5DEA3313" w14:textId="5D31DAE5" w:rsidR="003B0874" w:rsidRDefault="003B0874" w:rsidP="00BE51AB">
      <w:pPr>
        <w:jc w:val="both"/>
        <w:rPr>
          <w:rFonts w:asciiTheme="majorBidi" w:hAnsiTheme="majorBidi" w:cstheme="majorBidi"/>
          <w:sz w:val="24"/>
          <w:szCs w:val="24"/>
        </w:rPr>
      </w:pPr>
      <w:r>
        <w:rPr>
          <w:rFonts w:asciiTheme="majorBidi" w:hAnsiTheme="majorBidi" w:cstheme="majorBidi"/>
          <w:sz w:val="24"/>
          <w:szCs w:val="24"/>
        </w:rPr>
        <w:t>Access</w:t>
      </w:r>
    </w:p>
    <w:p w14:paraId="5C788834" w14:textId="54AB43CD" w:rsidR="00844964" w:rsidRDefault="003B0874" w:rsidP="003B087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Question(s) regarding the proposed policy goals.  The proposed policy goals are not conditions and would not require a variance for relief</w:t>
      </w:r>
      <w:r w:rsidR="00A50DEA">
        <w:rPr>
          <w:rFonts w:asciiTheme="majorBidi" w:hAnsiTheme="majorBidi" w:cstheme="majorBidi"/>
          <w:sz w:val="24"/>
          <w:szCs w:val="24"/>
        </w:rPr>
        <w:t xml:space="preserve">.  They would be enforced on a </w:t>
      </w:r>
      <w:r w:rsidR="009D7DC6">
        <w:rPr>
          <w:rFonts w:asciiTheme="majorBidi" w:hAnsiTheme="majorBidi" w:cstheme="majorBidi"/>
          <w:sz w:val="24"/>
          <w:szCs w:val="24"/>
        </w:rPr>
        <w:t>case-by-case</w:t>
      </w:r>
      <w:r w:rsidR="00A50DEA">
        <w:rPr>
          <w:rFonts w:asciiTheme="majorBidi" w:hAnsiTheme="majorBidi" w:cstheme="majorBidi"/>
          <w:sz w:val="24"/>
          <w:szCs w:val="24"/>
        </w:rPr>
        <w:t xml:space="preserve"> basis for each applicable subdivision that is choosing to expand.  They would be enforced through cooperation with the County Manager after analysis by the TRC.  Some of the goals </w:t>
      </w:r>
      <w:r w:rsidR="00931CB0">
        <w:rPr>
          <w:rFonts w:asciiTheme="majorBidi" w:hAnsiTheme="majorBidi" w:cstheme="majorBidi"/>
          <w:sz w:val="24"/>
          <w:szCs w:val="24"/>
        </w:rPr>
        <w:t xml:space="preserve">are expected to apply to all or most subdivisions that choose to expand and some are not.  </w:t>
      </w:r>
    </w:p>
    <w:p w14:paraId="68DD7AA4" w14:textId="6B24E21B" w:rsidR="006C1C4F" w:rsidRDefault="005E3A08" w:rsidP="003B087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As an alternative, s</w:t>
      </w:r>
      <w:r w:rsidR="006C1C4F">
        <w:rPr>
          <w:rFonts w:asciiTheme="majorBidi" w:hAnsiTheme="majorBidi" w:cstheme="majorBidi"/>
          <w:sz w:val="24"/>
          <w:szCs w:val="24"/>
        </w:rPr>
        <w:t xml:space="preserve">taff has prepared regulations below that limit the </w:t>
      </w:r>
      <w:r>
        <w:rPr>
          <w:rFonts w:asciiTheme="majorBidi" w:hAnsiTheme="majorBidi" w:cstheme="majorBidi"/>
          <w:sz w:val="24"/>
          <w:szCs w:val="24"/>
        </w:rPr>
        <w:t>development on a cul-de-sac to a maximum of</w:t>
      </w:r>
      <w:r w:rsidR="00897827">
        <w:rPr>
          <w:rFonts w:asciiTheme="majorBidi" w:hAnsiTheme="majorBidi" w:cstheme="majorBidi"/>
          <w:sz w:val="24"/>
          <w:szCs w:val="24"/>
        </w:rPr>
        <w:t xml:space="preserve"> 80 dwelling units.</w:t>
      </w:r>
      <w:r>
        <w:rPr>
          <w:rFonts w:asciiTheme="majorBidi" w:hAnsiTheme="majorBidi" w:cstheme="majorBidi"/>
          <w:sz w:val="24"/>
          <w:szCs w:val="24"/>
        </w:rPr>
        <w:t xml:space="preserve"> </w:t>
      </w:r>
    </w:p>
    <w:p w14:paraId="1F923817" w14:textId="77777777" w:rsidR="00B2761B" w:rsidRDefault="00B2761B" w:rsidP="00B2761B">
      <w:pPr>
        <w:ind w:left="360"/>
        <w:jc w:val="both"/>
        <w:rPr>
          <w:rFonts w:asciiTheme="majorBidi" w:hAnsiTheme="majorBidi" w:cstheme="majorBidi"/>
          <w:sz w:val="24"/>
          <w:szCs w:val="24"/>
        </w:rPr>
      </w:pPr>
    </w:p>
    <w:p w14:paraId="599165C2" w14:textId="77777777" w:rsidR="00B2761B" w:rsidRDefault="00B2761B" w:rsidP="00B2761B">
      <w:pPr>
        <w:pStyle w:val="ListParagraph"/>
        <w:jc w:val="center"/>
        <w:rPr>
          <w:rFonts w:asciiTheme="majorBidi" w:hAnsiTheme="majorBidi" w:cstheme="majorBidi"/>
          <w:sz w:val="24"/>
          <w:szCs w:val="24"/>
        </w:rPr>
      </w:pPr>
      <w:r>
        <w:rPr>
          <w:rFonts w:asciiTheme="majorBidi" w:hAnsiTheme="majorBidi" w:cstheme="majorBidi"/>
          <w:sz w:val="24"/>
          <w:szCs w:val="24"/>
        </w:rPr>
        <w:t>TXT-2024-03 Access Amendment ULDC Text</w:t>
      </w:r>
    </w:p>
    <w:p w14:paraId="39F9B1EC" w14:textId="77777777" w:rsidR="00B2761B" w:rsidRDefault="00B2761B" w:rsidP="00B2761B">
      <w:pPr>
        <w:pStyle w:val="ListParagraph"/>
        <w:jc w:val="center"/>
        <w:rPr>
          <w:rFonts w:asciiTheme="majorBidi" w:hAnsiTheme="majorBidi" w:cstheme="majorBidi"/>
          <w:sz w:val="24"/>
          <w:szCs w:val="24"/>
        </w:rPr>
      </w:pPr>
    </w:p>
    <w:p w14:paraId="3B2B7A89" w14:textId="77777777" w:rsidR="00B2761B" w:rsidRDefault="00B2761B" w:rsidP="00B2761B">
      <w:pPr>
        <w:pStyle w:val="ListParagraph"/>
        <w:jc w:val="center"/>
        <w:rPr>
          <w:rFonts w:asciiTheme="majorBidi" w:hAnsiTheme="majorBidi" w:cstheme="majorBidi"/>
          <w:sz w:val="24"/>
          <w:szCs w:val="24"/>
        </w:rPr>
      </w:pPr>
      <w:r>
        <w:rPr>
          <w:rFonts w:asciiTheme="majorBidi" w:hAnsiTheme="majorBidi" w:cstheme="majorBidi"/>
          <w:sz w:val="24"/>
          <w:szCs w:val="24"/>
        </w:rPr>
        <w:t xml:space="preserve">Option B Compromise (Over 80) </w:t>
      </w:r>
    </w:p>
    <w:p w14:paraId="0E089E68" w14:textId="20268DC8" w:rsidR="00B2761B" w:rsidRDefault="00B2761B" w:rsidP="00B2761B">
      <w:pPr>
        <w:rPr>
          <w:rFonts w:asciiTheme="majorBidi" w:hAnsiTheme="majorBidi" w:cstheme="majorBidi"/>
          <w:sz w:val="24"/>
          <w:szCs w:val="24"/>
        </w:rPr>
      </w:pPr>
    </w:p>
    <w:p w14:paraId="7BB1BDF1"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1.07.04 Building and Construction Codes</w:t>
      </w:r>
    </w:p>
    <w:p w14:paraId="6CD0AF4C"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A. State Minimum Standard Codes</w:t>
      </w:r>
    </w:p>
    <w:p w14:paraId="1CE1F46B"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u w:val="single"/>
        </w:rPr>
        <w:t>Unless otherwise specified in this ULDC, the</w:t>
      </w:r>
      <w:r>
        <w:rPr>
          <w:rFonts w:asciiTheme="majorBidi" w:hAnsiTheme="majorBidi" w:cstheme="majorBidi"/>
          <w:strike/>
          <w:sz w:val="24"/>
          <w:szCs w:val="24"/>
        </w:rPr>
        <w:t xml:space="preserve"> The</w:t>
      </w:r>
      <w:r>
        <w:rPr>
          <w:rFonts w:asciiTheme="majorBidi" w:hAnsiTheme="majorBidi" w:cstheme="majorBidi"/>
          <w:sz w:val="24"/>
          <w:szCs w:val="24"/>
        </w:rPr>
        <w:t xml:space="preserve"> following State Minimum Standard Codes, specified in OCGA § 8-2-20(9)(B), as adopted, revised, and amended by the Georgia Department of Community Affairs pursuant to OCGA § 8-2-23(a), and any new editions thereof adopted by the Georgia Department of Community Affairs pursuant to OCGA § 8-2-23(b), including appendices thereto as provided by OCGA § 8-2-21(1), shall be enforced by the Board of Commissioners throughout the unincorporated area of Lowndes County.</w:t>
      </w:r>
    </w:p>
    <w:p w14:paraId="236A5F73" w14:textId="77777777" w:rsidR="00B2761B" w:rsidRDefault="00B2761B" w:rsidP="00B2761B">
      <w:pPr>
        <w:jc w:val="both"/>
        <w:rPr>
          <w:rFonts w:asciiTheme="majorBidi" w:hAnsiTheme="majorBidi" w:cstheme="majorBidi"/>
          <w:sz w:val="24"/>
          <w:szCs w:val="24"/>
        </w:rPr>
      </w:pPr>
    </w:p>
    <w:p w14:paraId="42DC898E"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B. State Minimum Fire Safety Standards</w:t>
      </w:r>
    </w:p>
    <w:p w14:paraId="2195F111"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u w:val="single"/>
        </w:rPr>
        <w:t>Unless otherwise specified in this ULDC, the</w:t>
      </w:r>
      <w:r>
        <w:rPr>
          <w:rFonts w:asciiTheme="majorBidi" w:hAnsiTheme="majorBidi" w:cstheme="majorBidi"/>
          <w:strike/>
          <w:sz w:val="24"/>
          <w:szCs w:val="24"/>
        </w:rPr>
        <w:t xml:space="preserve"> The</w:t>
      </w:r>
      <w:r>
        <w:rPr>
          <w:rFonts w:asciiTheme="majorBidi" w:hAnsiTheme="majorBidi" w:cstheme="majorBidi"/>
          <w:sz w:val="24"/>
          <w:szCs w:val="24"/>
        </w:rPr>
        <w:t xml:space="preserve"> State Minimum Fire Safety Standards adopted in the Rules and Regulations for State Minimum Fire Safety Standards promulgated by the Georgia Safety Fire Commissioner pursuant to Chapter 2 of Title 25 of the Official Code of Georgia Annotated, enumerated in Ga. Comp. R. &amp; Regs. R. 120-3-3-.04, including subsequent revisions, are hereby adopted and shall be enforced by the Board of Commissioners throughout the unincorporated area of Lowndes County in accordance with and as provided by Chapter 2 of Title 25 of the Official Code of Georgia Annotated. </w:t>
      </w:r>
    </w:p>
    <w:p w14:paraId="104DE2E9" w14:textId="77777777" w:rsidR="00B2761B" w:rsidRDefault="00B2761B" w:rsidP="00B2761B">
      <w:pPr>
        <w:jc w:val="both"/>
        <w:rPr>
          <w:rFonts w:asciiTheme="majorBidi" w:hAnsiTheme="majorBidi" w:cstheme="majorBidi"/>
          <w:sz w:val="24"/>
          <w:szCs w:val="24"/>
        </w:rPr>
      </w:pPr>
    </w:p>
    <w:p w14:paraId="1706ADEF"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4.04.02 General Design Standards for Subdivisions</w:t>
      </w:r>
    </w:p>
    <w:p w14:paraId="764B6085"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4.04.02(D)</w:t>
      </w:r>
    </w:p>
    <w:p w14:paraId="44C2BF15" w14:textId="77777777" w:rsidR="00B2761B" w:rsidRDefault="00B2761B" w:rsidP="00B2761B">
      <w:pPr>
        <w:jc w:val="both"/>
        <w:rPr>
          <w:rFonts w:asciiTheme="majorBidi" w:hAnsiTheme="majorBidi" w:cstheme="majorBidi"/>
          <w:strike/>
          <w:sz w:val="24"/>
          <w:szCs w:val="24"/>
        </w:rPr>
      </w:pPr>
      <w:r>
        <w:rPr>
          <w:rFonts w:asciiTheme="majorBidi" w:hAnsiTheme="majorBidi" w:cstheme="majorBidi"/>
          <w:strike/>
          <w:sz w:val="24"/>
          <w:szCs w:val="24"/>
        </w:rPr>
        <w:t>A subdivision shall have at least two (2) entrances if the subdivision is planned to have twenty-five (25) or more lots.</w:t>
      </w:r>
    </w:p>
    <w:p w14:paraId="7E2970B3"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b/>
          <w:bCs/>
          <w:sz w:val="24"/>
          <w:szCs w:val="24"/>
          <w:u w:val="single"/>
        </w:rPr>
        <w:t>Cul-de-sac</w:t>
      </w:r>
      <w:r>
        <w:rPr>
          <w:rFonts w:asciiTheme="majorBidi" w:hAnsiTheme="majorBidi" w:cstheme="majorBidi"/>
          <w:sz w:val="24"/>
          <w:szCs w:val="24"/>
          <w:u w:val="single"/>
        </w:rPr>
        <w:t xml:space="preserve"> standards are found in Section 6.01.02(F)(2).</w:t>
      </w:r>
    </w:p>
    <w:p w14:paraId="16D58EB2" w14:textId="77777777" w:rsidR="00B2761B" w:rsidRDefault="00B2761B" w:rsidP="00B2761B">
      <w:pPr>
        <w:jc w:val="both"/>
        <w:rPr>
          <w:rFonts w:asciiTheme="majorBidi" w:hAnsiTheme="majorBidi" w:cstheme="majorBidi"/>
          <w:sz w:val="24"/>
          <w:szCs w:val="24"/>
        </w:rPr>
      </w:pPr>
    </w:p>
    <w:p w14:paraId="19D00C52"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6.01.02 Streets and Rights-of-Way</w:t>
      </w:r>
    </w:p>
    <w:p w14:paraId="5D756E78"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F. Design Standards</w:t>
      </w:r>
    </w:p>
    <w:p w14:paraId="7D1BD2C6"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b/>
          <w:bCs/>
          <w:sz w:val="24"/>
          <w:szCs w:val="24"/>
        </w:rPr>
        <w:t>Cul-de-sacs</w:t>
      </w:r>
    </w:p>
    <w:p w14:paraId="2F71E653" w14:textId="77777777" w:rsidR="00B2761B" w:rsidRDefault="00B2761B" w:rsidP="00B2761B">
      <w:pPr>
        <w:jc w:val="both"/>
        <w:rPr>
          <w:rFonts w:asciiTheme="majorBidi" w:hAnsiTheme="majorBidi" w:cstheme="majorBidi"/>
          <w:sz w:val="24"/>
          <w:szCs w:val="24"/>
        </w:rPr>
      </w:pPr>
      <w:r>
        <w:rPr>
          <w:rFonts w:asciiTheme="majorBidi" w:hAnsiTheme="majorBidi" w:cstheme="majorBidi"/>
          <w:sz w:val="24"/>
          <w:szCs w:val="24"/>
        </w:rPr>
        <w:t>6.01.02(F)(2)(a)</w:t>
      </w:r>
    </w:p>
    <w:p w14:paraId="3F9DC350"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sz w:val="24"/>
          <w:szCs w:val="24"/>
        </w:rPr>
        <w:t xml:space="preserve">a. </w:t>
      </w:r>
      <w:r>
        <w:rPr>
          <w:rFonts w:asciiTheme="majorBidi" w:hAnsiTheme="majorBidi" w:cstheme="majorBidi"/>
          <w:strike/>
          <w:sz w:val="24"/>
          <w:szCs w:val="24"/>
        </w:rPr>
        <w:t>Cul-de-sacs shall be limited in length so that each cul-de-sac serves as street access for no more than twenty-four (24) lots.</w:t>
      </w:r>
      <w:r>
        <w:rPr>
          <w:rFonts w:asciiTheme="majorBidi" w:hAnsiTheme="majorBidi" w:cstheme="majorBidi"/>
          <w:sz w:val="24"/>
          <w:szCs w:val="24"/>
          <w:u w:val="single"/>
        </w:rPr>
        <w:t xml:space="preserve">  The amount of </w:t>
      </w:r>
      <w:r>
        <w:rPr>
          <w:rFonts w:asciiTheme="majorBidi" w:hAnsiTheme="majorBidi" w:cstheme="majorBidi"/>
          <w:b/>
          <w:bCs/>
          <w:sz w:val="24"/>
          <w:szCs w:val="24"/>
          <w:u w:val="single"/>
        </w:rPr>
        <w:t xml:space="preserve">development </w:t>
      </w:r>
      <w:r>
        <w:rPr>
          <w:rFonts w:asciiTheme="majorBidi" w:hAnsiTheme="majorBidi" w:cstheme="majorBidi"/>
          <w:sz w:val="24"/>
          <w:szCs w:val="24"/>
          <w:u w:val="single"/>
        </w:rPr>
        <w:t xml:space="preserve">and/or </w:t>
      </w:r>
      <w:r>
        <w:rPr>
          <w:rFonts w:asciiTheme="majorBidi" w:hAnsiTheme="majorBidi" w:cstheme="majorBidi"/>
          <w:b/>
          <w:bCs/>
          <w:sz w:val="24"/>
          <w:szCs w:val="24"/>
          <w:u w:val="single"/>
        </w:rPr>
        <w:t>dwellings units</w:t>
      </w:r>
      <w:r>
        <w:rPr>
          <w:rFonts w:asciiTheme="majorBidi" w:hAnsiTheme="majorBidi" w:cstheme="majorBidi"/>
          <w:sz w:val="24"/>
          <w:szCs w:val="24"/>
          <w:u w:val="single"/>
        </w:rPr>
        <w:t xml:space="preserve"> allowed on a </w:t>
      </w:r>
      <w:r>
        <w:rPr>
          <w:rFonts w:asciiTheme="majorBidi" w:hAnsiTheme="majorBidi" w:cstheme="majorBidi"/>
          <w:b/>
          <w:bCs/>
          <w:sz w:val="24"/>
          <w:szCs w:val="24"/>
          <w:u w:val="single"/>
        </w:rPr>
        <w:t>cul-de-sac</w:t>
      </w:r>
      <w:r>
        <w:rPr>
          <w:rFonts w:asciiTheme="majorBidi" w:hAnsiTheme="majorBidi" w:cstheme="majorBidi"/>
          <w:sz w:val="24"/>
          <w:szCs w:val="24"/>
          <w:u w:val="single"/>
        </w:rPr>
        <w:t xml:space="preserve"> or a fire apparatus access road and the requirements for those </w:t>
      </w:r>
      <w:r>
        <w:rPr>
          <w:rFonts w:asciiTheme="majorBidi" w:hAnsiTheme="majorBidi" w:cstheme="majorBidi"/>
          <w:b/>
          <w:bCs/>
          <w:sz w:val="24"/>
          <w:szCs w:val="24"/>
          <w:u w:val="single"/>
        </w:rPr>
        <w:t>streets</w:t>
      </w:r>
      <w:r>
        <w:rPr>
          <w:rFonts w:asciiTheme="majorBidi" w:hAnsiTheme="majorBidi" w:cstheme="majorBidi"/>
          <w:sz w:val="24"/>
          <w:szCs w:val="24"/>
          <w:u w:val="single"/>
        </w:rPr>
        <w:t xml:space="preserve"> shall be governed by a combination of this ULDC and the IFC as amended by the State of Georgia (Appendix D Included).  Appendix D 107.1 and 107.1 Exception 1 relating to how many </w:t>
      </w:r>
      <w:r w:rsidRPr="00913B0D">
        <w:rPr>
          <w:rFonts w:asciiTheme="majorBidi" w:hAnsiTheme="majorBidi" w:cstheme="majorBidi"/>
          <w:b/>
          <w:bCs/>
          <w:sz w:val="24"/>
          <w:szCs w:val="24"/>
          <w:u w:val="single"/>
        </w:rPr>
        <w:t>dwellings units</w:t>
      </w:r>
      <w:r>
        <w:rPr>
          <w:rFonts w:asciiTheme="majorBidi" w:hAnsiTheme="majorBidi" w:cstheme="majorBidi"/>
          <w:sz w:val="24"/>
          <w:szCs w:val="24"/>
          <w:u w:val="single"/>
        </w:rPr>
        <w:t xml:space="preserve"> are allowed on a single fire apparatus access road or </w:t>
      </w:r>
      <w:r w:rsidRPr="00913B0D">
        <w:rPr>
          <w:rFonts w:asciiTheme="majorBidi" w:hAnsiTheme="majorBidi" w:cstheme="majorBidi"/>
          <w:b/>
          <w:bCs/>
          <w:sz w:val="24"/>
          <w:szCs w:val="24"/>
          <w:u w:val="single"/>
        </w:rPr>
        <w:t>cul-de-sac</w:t>
      </w:r>
      <w:r>
        <w:rPr>
          <w:rFonts w:asciiTheme="majorBidi" w:hAnsiTheme="majorBidi" w:cstheme="majorBidi"/>
          <w:sz w:val="24"/>
          <w:szCs w:val="24"/>
          <w:u w:val="single"/>
        </w:rPr>
        <w:t xml:space="preserve"> shall both read as eighty (80) </w:t>
      </w:r>
      <w:r w:rsidRPr="00913B0D">
        <w:rPr>
          <w:rFonts w:asciiTheme="majorBidi" w:hAnsiTheme="majorBidi" w:cstheme="majorBidi"/>
          <w:b/>
          <w:bCs/>
          <w:sz w:val="24"/>
          <w:szCs w:val="24"/>
          <w:u w:val="single"/>
        </w:rPr>
        <w:t>dwellings units</w:t>
      </w:r>
      <w:r>
        <w:rPr>
          <w:rFonts w:asciiTheme="majorBidi" w:hAnsiTheme="majorBidi" w:cstheme="majorBidi"/>
          <w:sz w:val="24"/>
          <w:szCs w:val="24"/>
          <w:u w:val="single"/>
        </w:rPr>
        <w:t xml:space="preserve"> or </w:t>
      </w:r>
      <w:r w:rsidRPr="00913B0D">
        <w:rPr>
          <w:rFonts w:asciiTheme="majorBidi" w:hAnsiTheme="majorBidi" w:cstheme="majorBidi"/>
          <w:b/>
          <w:bCs/>
          <w:sz w:val="24"/>
          <w:szCs w:val="24"/>
          <w:u w:val="single"/>
        </w:rPr>
        <w:t>lots</w:t>
      </w:r>
      <w:r>
        <w:rPr>
          <w:rFonts w:asciiTheme="majorBidi" w:hAnsiTheme="majorBidi" w:cstheme="majorBidi"/>
          <w:sz w:val="24"/>
          <w:szCs w:val="24"/>
          <w:u w:val="single"/>
        </w:rPr>
        <w:t xml:space="preserve">.  When calculating </w:t>
      </w:r>
      <w:r>
        <w:rPr>
          <w:rFonts w:asciiTheme="majorBidi" w:hAnsiTheme="majorBidi" w:cstheme="majorBidi"/>
          <w:b/>
          <w:bCs/>
          <w:sz w:val="24"/>
          <w:szCs w:val="24"/>
          <w:u w:val="single"/>
        </w:rPr>
        <w:t>dwellings units</w:t>
      </w:r>
      <w:r>
        <w:rPr>
          <w:rFonts w:asciiTheme="majorBidi" w:hAnsiTheme="majorBidi" w:cstheme="majorBidi"/>
          <w:sz w:val="24"/>
          <w:szCs w:val="24"/>
          <w:u w:val="single"/>
        </w:rPr>
        <w:t xml:space="preserve"> for this section, in addition to the </w:t>
      </w:r>
      <w:r>
        <w:rPr>
          <w:rFonts w:asciiTheme="majorBidi" w:hAnsiTheme="majorBidi" w:cstheme="majorBidi"/>
          <w:b/>
          <w:bCs/>
          <w:sz w:val="24"/>
          <w:szCs w:val="24"/>
          <w:u w:val="single"/>
        </w:rPr>
        <w:t>primary building</w:t>
      </w:r>
      <w:r>
        <w:rPr>
          <w:rFonts w:asciiTheme="majorBidi" w:hAnsiTheme="majorBidi" w:cstheme="majorBidi"/>
          <w:sz w:val="24"/>
          <w:szCs w:val="24"/>
          <w:u w:val="single"/>
        </w:rPr>
        <w:t xml:space="preserve"> (</w:t>
      </w:r>
      <w:r>
        <w:rPr>
          <w:rFonts w:asciiTheme="majorBidi" w:hAnsiTheme="majorBidi" w:cstheme="majorBidi"/>
          <w:b/>
          <w:bCs/>
          <w:sz w:val="24"/>
          <w:szCs w:val="24"/>
          <w:u w:val="single"/>
        </w:rPr>
        <w:t>dwelling</w:t>
      </w:r>
      <w:r>
        <w:rPr>
          <w:rFonts w:asciiTheme="majorBidi" w:hAnsiTheme="majorBidi" w:cstheme="majorBidi"/>
          <w:sz w:val="24"/>
          <w:szCs w:val="24"/>
          <w:u w:val="single"/>
        </w:rPr>
        <w:t xml:space="preserve">) count, each potential or existing </w:t>
      </w:r>
      <w:r>
        <w:rPr>
          <w:rFonts w:asciiTheme="majorBidi" w:hAnsiTheme="majorBidi" w:cstheme="majorBidi"/>
          <w:b/>
          <w:bCs/>
          <w:sz w:val="24"/>
          <w:szCs w:val="24"/>
          <w:u w:val="single"/>
        </w:rPr>
        <w:t>accessory dwelling</w:t>
      </w:r>
      <w:r>
        <w:rPr>
          <w:rFonts w:asciiTheme="majorBidi" w:hAnsiTheme="majorBidi" w:cstheme="majorBidi"/>
          <w:sz w:val="24"/>
          <w:szCs w:val="24"/>
          <w:u w:val="single"/>
        </w:rPr>
        <w:t xml:space="preserve">, if allowed, shall count as one (1) additional </w:t>
      </w:r>
      <w:r>
        <w:rPr>
          <w:rFonts w:asciiTheme="majorBidi" w:hAnsiTheme="majorBidi" w:cstheme="majorBidi"/>
          <w:b/>
          <w:bCs/>
          <w:sz w:val="24"/>
          <w:szCs w:val="24"/>
          <w:u w:val="single"/>
        </w:rPr>
        <w:t>dwelling unit</w:t>
      </w:r>
      <w:r>
        <w:rPr>
          <w:rFonts w:asciiTheme="majorBidi" w:hAnsiTheme="majorBidi" w:cstheme="majorBidi"/>
          <w:sz w:val="24"/>
          <w:szCs w:val="24"/>
          <w:u w:val="single"/>
        </w:rPr>
        <w:t xml:space="preserve"> per allowance.  Each potential or existing </w:t>
      </w:r>
      <w:r>
        <w:rPr>
          <w:rFonts w:asciiTheme="majorBidi" w:hAnsiTheme="majorBidi" w:cstheme="majorBidi"/>
          <w:b/>
          <w:bCs/>
          <w:sz w:val="24"/>
          <w:szCs w:val="24"/>
          <w:u w:val="single"/>
        </w:rPr>
        <w:t>duplex or two-family dwelling</w:t>
      </w:r>
      <w:r>
        <w:rPr>
          <w:rFonts w:asciiTheme="majorBidi" w:hAnsiTheme="majorBidi" w:cstheme="majorBidi"/>
          <w:sz w:val="24"/>
          <w:szCs w:val="24"/>
          <w:u w:val="single"/>
        </w:rPr>
        <w:t xml:space="preserve">, if allowed, shall count as two (2) </w:t>
      </w:r>
      <w:r>
        <w:rPr>
          <w:rFonts w:asciiTheme="majorBidi" w:hAnsiTheme="majorBidi" w:cstheme="majorBidi"/>
          <w:b/>
          <w:bCs/>
          <w:sz w:val="24"/>
          <w:szCs w:val="24"/>
          <w:u w:val="single"/>
        </w:rPr>
        <w:t>dwelling units</w:t>
      </w:r>
      <w:r>
        <w:rPr>
          <w:rFonts w:asciiTheme="majorBidi" w:hAnsiTheme="majorBidi" w:cstheme="majorBidi"/>
          <w:sz w:val="24"/>
          <w:szCs w:val="24"/>
          <w:u w:val="single"/>
        </w:rPr>
        <w:t xml:space="preserve"> per allowance.  If the potential </w:t>
      </w:r>
      <w:r>
        <w:rPr>
          <w:rFonts w:asciiTheme="majorBidi" w:hAnsiTheme="majorBidi" w:cstheme="majorBidi"/>
          <w:b/>
          <w:bCs/>
          <w:sz w:val="24"/>
          <w:szCs w:val="24"/>
          <w:u w:val="single"/>
        </w:rPr>
        <w:t>development</w:t>
      </w:r>
      <w:r>
        <w:rPr>
          <w:rFonts w:asciiTheme="majorBidi" w:hAnsiTheme="majorBidi" w:cstheme="majorBidi"/>
          <w:sz w:val="24"/>
          <w:szCs w:val="24"/>
          <w:u w:val="single"/>
        </w:rPr>
        <w:t xml:space="preserve"> for either of these or other types of </w:t>
      </w:r>
      <w:r>
        <w:rPr>
          <w:rFonts w:asciiTheme="majorBidi" w:hAnsiTheme="majorBidi" w:cstheme="majorBidi"/>
          <w:b/>
          <w:bCs/>
          <w:sz w:val="24"/>
          <w:szCs w:val="24"/>
          <w:u w:val="single"/>
        </w:rPr>
        <w:t>dwelling units</w:t>
      </w:r>
      <w:r>
        <w:rPr>
          <w:rFonts w:asciiTheme="majorBidi" w:hAnsiTheme="majorBidi" w:cstheme="majorBidi"/>
          <w:sz w:val="24"/>
          <w:szCs w:val="24"/>
          <w:u w:val="single"/>
        </w:rPr>
        <w:t xml:space="preserve"> are restricted through rezoning conditions, restrictive covenants, and/or platting notes then their calculation in the total number of </w:t>
      </w:r>
      <w:r>
        <w:rPr>
          <w:rFonts w:asciiTheme="majorBidi" w:hAnsiTheme="majorBidi" w:cstheme="majorBidi"/>
          <w:b/>
          <w:bCs/>
          <w:sz w:val="24"/>
          <w:szCs w:val="24"/>
          <w:u w:val="single"/>
        </w:rPr>
        <w:t>dwelling units</w:t>
      </w:r>
      <w:r>
        <w:rPr>
          <w:rFonts w:asciiTheme="majorBidi" w:hAnsiTheme="majorBidi" w:cstheme="majorBidi"/>
          <w:sz w:val="24"/>
          <w:szCs w:val="24"/>
          <w:u w:val="single"/>
        </w:rPr>
        <w:t xml:space="preserve"> may be lessened.     </w:t>
      </w:r>
    </w:p>
    <w:p w14:paraId="225AA0A4"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sz w:val="24"/>
          <w:szCs w:val="24"/>
          <w:u w:val="single"/>
        </w:rPr>
        <w:t xml:space="preserve">b.  For new </w:t>
      </w:r>
      <w:r>
        <w:rPr>
          <w:rFonts w:asciiTheme="majorBidi" w:hAnsiTheme="majorBidi" w:cstheme="majorBidi"/>
          <w:b/>
          <w:bCs/>
          <w:sz w:val="24"/>
          <w:szCs w:val="24"/>
          <w:u w:val="single"/>
        </w:rPr>
        <w:t xml:space="preserve">developments </w:t>
      </w:r>
      <w:r>
        <w:rPr>
          <w:rFonts w:asciiTheme="majorBidi" w:hAnsiTheme="majorBidi" w:cstheme="majorBidi"/>
          <w:sz w:val="24"/>
          <w:szCs w:val="24"/>
          <w:u w:val="single"/>
        </w:rPr>
        <w:t xml:space="preserve">that propose more than 30 and at or less than 80 </w:t>
      </w:r>
      <w:r>
        <w:rPr>
          <w:rFonts w:asciiTheme="majorBidi" w:hAnsiTheme="majorBidi" w:cstheme="majorBidi"/>
          <w:b/>
          <w:bCs/>
          <w:sz w:val="24"/>
          <w:szCs w:val="24"/>
          <w:u w:val="single"/>
        </w:rPr>
        <w:t>dwelling units</w:t>
      </w:r>
      <w:r>
        <w:rPr>
          <w:rFonts w:asciiTheme="majorBidi" w:hAnsiTheme="majorBidi" w:cstheme="majorBidi"/>
          <w:sz w:val="24"/>
          <w:szCs w:val="24"/>
          <w:u w:val="single"/>
        </w:rPr>
        <w:t xml:space="preserve"> or </w:t>
      </w:r>
      <w:r>
        <w:rPr>
          <w:rFonts w:asciiTheme="majorBidi" w:hAnsiTheme="majorBidi" w:cstheme="majorBidi"/>
          <w:b/>
          <w:bCs/>
          <w:sz w:val="24"/>
          <w:szCs w:val="24"/>
          <w:u w:val="single"/>
        </w:rPr>
        <w:t xml:space="preserve">lots </w:t>
      </w:r>
      <w:r>
        <w:rPr>
          <w:rFonts w:asciiTheme="majorBidi" w:hAnsiTheme="majorBidi" w:cstheme="majorBidi"/>
          <w:sz w:val="24"/>
          <w:szCs w:val="24"/>
          <w:u w:val="single"/>
        </w:rPr>
        <w:t xml:space="preserve">further </w:t>
      </w:r>
      <w:r>
        <w:rPr>
          <w:rFonts w:asciiTheme="majorBidi" w:hAnsiTheme="majorBidi" w:cstheme="majorBidi"/>
          <w:b/>
          <w:bCs/>
          <w:sz w:val="24"/>
          <w:szCs w:val="24"/>
          <w:u w:val="single"/>
        </w:rPr>
        <w:t>development</w:t>
      </w:r>
      <w:r>
        <w:rPr>
          <w:rFonts w:asciiTheme="majorBidi" w:hAnsiTheme="majorBidi" w:cstheme="majorBidi"/>
          <w:sz w:val="24"/>
          <w:szCs w:val="24"/>
          <w:u w:val="single"/>
        </w:rPr>
        <w:t xml:space="preserve"> on a </w:t>
      </w:r>
      <w:r>
        <w:rPr>
          <w:rFonts w:asciiTheme="majorBidi" w:hAnsiTheme="majorBidi" w:cstheme="majorBidi"/>
          <w:b/>
          <w:bCs/>
          <w:sz w:val="24"/>
          <w:szCs w:val="24"/>
          <w:u w:val="single"/>
        </w:rPr>
        <w:t>cul-de-sac</w:t>
      </w:r>
      <w:r>
        <w:rPr>
          <w:rFonts w:asciiTheme="majorBidi" w:hAnsiTheme="majorBidi" w:cstheme="majorBidi"/>
          <w:sz w:val="24"/>
          <w:szCs w:val="24"/>
          <w:u w:val="single"/>
        </w:rPr>
        <w:t xml:space="preserve"> may be allowed provided that the policy goals set by the County Manager for such </w:t>
      </w:r>
      <w:r>
        <w:rPr>
          <w:rFonts w:asciiTheme="majorBidi" w:hAnsiTheme="majorBidi" w:cstheme="majorBidi"/>
          <w:b/>
          <w:bCs/>
          <w:sz w:val="24"/>
          <w:szCs w:val="24"/>
          <w:u w:val="single"/>
        </w:rPr>
        <w:t>development</w:t>
      </w:r>
      <w:r>
        <w:rPr>
          <w:rFonts w:asciiTheme="majorBidi" w:hAnsiTheme="majorBidi" w:cstheme="majorBidi"/>
          <w:sz w:val="24"/>
          <w:szCs w:val="24"/>
          <w:u w:val="single"/>
        </w:rPr>
        <w:t xml:space="preserve"> are considered and, where appropriate, implemented (For </w:t>
      </w:r>
      <w:r>
        <w:rPr>
          <w:rFonts w:asciiTheme="majorBidi" w:hAnsiTheme="majorBidi" w:cstheme="majorBidi"/>
          <w:b/>
          <w:bCs/>
          <w:sz w:val="24"/>
          <w:szCs w:val="24"/>
          <w:u w:val="single"/>
        </w:rPr>
        <w:t>developments</w:t>
      </w:r>
      <w:r>
        <w:rPr>
          <w:rFonts w:asciiTheme="majorBidi" w:hAnsiTheme="majorBidi" w:cstheme="majorBidi"/>
          <w:sz w:val="24"/>
          <w:szCs w:val="24"/>
          <w:u w:val="single"/>
        </w:rPr>
        <w:t xml:space="preserve"> that existed as of November 12</w:t>
      </w:r>
      <w:r>
        <w:rPr>
          <w:rFonts w:asciiTheme="majorBidi" w:hAnsiTheme="majorBidi" w:cstheme="majorBidi"/>
          <w:sz w:val="24"/>
          <w:szCs w:val="24"/>
          <w:u w:val="single"/>
          <w:vertAlign w:val="superscript"/>
        </w:rPr>
        <w:t>th</w:t>
      </w:r>
      <w:r>
        <w:rPr>
          <w:rFonts w:asciiTheme="majorBidi" w:hAnsiTheme="majorBidi" w:cstheme="majorBidi"/>
          <w:sz w:val="24"/>
          <w:szCs w:val="24"/>
          <w:u w:val="single"/>
        </w:rPr>
        <w:t xml:space="preserve"> 2024 See Section 9.01.07).</w:t>
      </w:r>
    </w:p>
    <w:p w14:paraId="09D17F7C"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strike/>
          <w:sz w:val="24"/>
          <w:szCs w:val="24"/>
        </w:rPr>
        <w:t xml:space="preserve">b. </w:t>
      </w:r>
      <w:r>
        <w:rPr>
          <w:rFonts w:asciiTheme="majorBidi" w:hAnsiTheme="majorBidi" w:cstheme="majorBidi"/>
          <w:sz w:val="24"/>
          <w:szCs w:val="24"/>
          <w:u w:val="single"/>
        </w:rPr>
        <w:t>c.</w:t>
      </w:r>
    </w:p>
    <w:p w14:paraId="45146B99"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strike/>
          <w:sz w:val="24"/>
          <w:szCs w:val="24"/>
        </w:rPr>
        <w:t xml:space="preserve">c. </w:t>
      </w:r>
      <w:r>
        <w:rPr>
          <w:rFonts w:asciiTheme="majorBidi" w:hAnsiTheme="majorBidi" w:cstheme="majorBidi"/>
          <w:sz w:val="24"/>
          <w:szCs w:val="24"/>
          <w:u w:val="single"/>
        </w:rPr>
        <w:t>d</w:t>
      </w:r>
    </w:p>
    <w:p w14:paraId="3B70A539" w14:textId="77777777" w:rsidR="00B2761B" w:rsidRDefault="00B2761B" w:rsidP="00B2761B">
      <w:pPr>
        <w:jc w:val="both"/>
        <w:rPr>
          <w:rFonts w:asciiTheme="majorBidi" w:hAnsiTheme="majorBidi" w:cstheme="majorBidi"/>
          <w:sz w:val="24"/>
          <w:szCs w:val="24"/>
          <w:u w:val="single"/>
        </w:rPr>
      </w:pPr>
      <w:r>
        <w:rPr>
          <w:rFonts w:asciiTheme="majorBidi" w:hAnsiTheme="majorBidi" w:cstheme="majorBidi"/>
          <w:strike/>
          <w:sz w:val="24"/>
          <w:szCs w:val="24"/>
        </w:rPr>
        <w:t xml:space="preserve">d. </w:t>
      </w:r>
      <w:r>
        <w:rPr>
          <w:rFonts w:asciiTheme="majorBidi" w:hAnsiTheme="majorBidi" w:cstheme="majorBidi"/>
          <w:sz w:val="24"/>
          <w:szCs w:val="24"/>
          <w:u w:val="single"/>
        </w:rPr>
        <w:t>e.</w:t>
      </w:r>
    </w:p>
    <w:p w14:paraId="6B7F50F9" w14:textId="77777777" w:rsidR="00B2761B" w:rsidRDefault="00B2761B" w:rsidP="00B2761B">
      <w:pPr>
        <w:rPr>
          <w:rFonts w:asciiTheme="majorBidi" w:hAnsiTheme="majorBidi" w:cstheme="majorBidi"/>
          <w:sz w:val="24"/>
          <w:szCs w:val="24"/>
        </w:rPr>
      </w:pPr>
    </w:p>
    <w:p w14:paraId="0E52556C"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ULDC Master Table of Contents</w:t>
      </w:r>
    </w:p>
    <w:p w14:paraId="07A3D88B" w14:textId="77777777" w:rsidR="00B2761B" w:rsidRDefault="00B2761B" w:rsidP="00B2761B">
      <w:pPr>
        <w:rPr>
          <w:rFonts w:asciiTheme="majorBidi" w:hAnsiTheme="majorBidi" w:cstheme="majorBidi"/>
          <w:sz w:val="24"/>
          <w:szCs w:val="24"/>
          <w:u w:val="single"/>
        </w:rPr>
      </w:pPr>
      <w:r>
        <w:rPr>
          <w:rFonts w:asciiTheme="majorBidi" w:hAnsiTheme="majorBidi" w:cstheme="majorBidi"/>
          <w:sz w:val="24"/>
          <w:szCs w:val="24"/>
          <w:u w:val="single"/>
        </w:rPr>
        <w:t xml:space="preserve">9.01.07 Nonconforming Access </w:t>
      </w:r>
    </w:p>
    <w:p w14:paraId="33B70AD6" w14:textId="77777777" w:rsidR="00B2761B" w:rsidRDefault="00B2761B" w:rsidP="00B2761B">
      <w:pPr>
        <w:rPr>
          <w:rFonts w:asciiTheme="majorBidi" w:hAnsiTheme="majorBidi" w:cstheme="majorBidi"/>
          <w:sz w:val="24"/>
          <w:szCs w:val="24"/>
        </w:rPr>
      </w:pPr>
    </w:p>
    <w:p w14:paraId="10279261"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Chapter 9 Table of Contents</w:t>
      </w:r>
    </w:p>
    <w:p w14:paraId="59275686" w14:textId="77777777" w:rsidR="00B2761B" w:rsidRDefault="00B2761B" w:rsidP="00B2761B">
      <w:pPr>
        <w:rPr>
          <w:rFonts w:asciiTheme="majorBidi" w:hAnsiTheme="majorBidi" w:cstheme="majorBidi"/>
          <w:sz w:val="24"/>
          <w:szCs w:val="24"/>
          <w:u w:val="single"/>
        </w:rPr>
      </w:pPr>
      <w:r>
        <w:rPr>
          <w:rFonts w:asciiTheme="majorBidi" w:hAnsiTheme="majorBidi" w:cstheme="majorBidi"/>
          <w:sz w:val="24"/>
          <w:szCs w:val="24"/>
          <w:u w:val="single"/>
        </w:rPr>
        <w:t xml:space="preserve">9.01.07 Nonconforming Access </w:t>
      </w:r>
    </w:p>
    <w:p w14:paraId="552F30DD" w14:textId="77777777" w:rsidR="00B2761B" w:rsidRDefault="00B2761B" w:rsidP="00B2761B">
      <w:pPr>
        <w:rPr>
          <w:rFonts w:asciiTheme="majorBidi" w:hAnsiTheme="majorBidi" w:cstheme="majorBidi"/>
          <w:sz w:val="24"/>
          <w:szCs w:val="24"/>
        </w:rPr>
      </w:pPr>
    </w:p>
    <w:p w14:paraId="0E72747E" w14:textId="77777777" w:rsidR="00B2761B" w:rsidRDefault="00B2761B" w:rsidP="00B2761B">
      <w:pPr>
        <w:rPr>
          <w:rFonts w:asciiTheme="majorBidi" w:hAnsiTheme="majorBidi" w:cstheme="majorBidi"/>
          <w:sz w:val="24"/>
          <w:szCs w:val="24"/>
          <w:u w:val="single"/>
        </w:rPr>
      </w:pPr>
      <w:r>
        <w:rPr>
          <w:rFonts w:asciiTheme="majorBidi" w:hAnsiTheme="majorBidi" w:cstheme="majorBidi"/>
          <w:sz w:val="24"/>
          <w:szCs w:val="24"/>
          <w:u w:val="single"/>
        </w:rPr>
        <w:t>9.01.07 Nonconforming Access</w:t>
      </w:r>
    </w:p>
    <w:p w14:paraId="57EBAFF5" w14:textId="508BD992" w:rsidR="00B2761B" w:rsidRDefault="00B2761B" w:rsidP="00B2761B">
      <w:pPr>
        <w:jc w:val="both"/>
        <w:rPr>
          <w:rFonts w:asciiTheme="majorBidi" w:hAnsiTheme="majorBidi" w:cstheme="majorBidi"/>
          <w:sz w:val="24"/>
          <w:szCs w:val="24"/>
          <w:u w:val="single"/>
        </w:rPr>
      </w:pPr>
      <w:r>
        <w:rPr>
          <w:rFonts w:asciiTheme="majorBidi" w:hAnsiTheme="majorBidi" w:cstheme="majorBidi"/>
          <w:sz w:val="24"/>
          <w:szCs w:val="24"/>
          <w:u w:val="single"/>
        </w:rPr>
        <w:t xml:space="preserve">A.  For existing </w:t>
      </w:r>
      <w:r>
        <w:rPr>
          <w:rFonts w:asciiTheme="majorBidi" w:hAnsiTheme="majorBidi" w:cstheme="majorBidi"/>
          <w:b/>
          <w:bCs/>
          <w:sz w:val="24"/>
          <w:szCs w:val="24"/>
          <w:u w:val="single"/>
        </w:rPr>
        <w:t>developments</w:t>
      </w:r>
      <w:r>
        <w:rPr>
          <w:rFonts w:asciiTheme="majorBidi" w:hAnsiTheme="majorBidi" w:cstheme="majorBidi"/>
          <w:sz w:val="24"/>
          <w:szCs w:val="24"/>
          <w:u w:val="single"/>
        </w:rPr>
        <w:t xml:space="preserve"> that </w:t>
      </w:r>
      <w:r w:rsidR="00FD2EAD" w:rsidRPr="00FD2EAD">
        <w:rPr>
          <w:rFonts w:asciiTheme="majorBidi" w:hAnsiTheme="majorBidi" w:cstheme="majorBidi"/>
          <w:sz w:val="24"/>
          <w:szCs w:val="24"/>
          <w:highlight w:val="yellow"/>
          <w:u w:val="single"/>
        </w:rPr>
        <w:t>propose or</w:t>
      </w:r>
      <w:r w:rsidR="00FD2EAD">
        <w:rPr>
          <w:rFonts w:asciiTheme="majorBidi" w:hAnsiTheme="majorBidi" w:cstheme="majorBidi"/>
          <w:sz w:val="24"/>
          <w:szCs w:val="24"/>
          <w:u w:val="single"/>
        </w:rPr>
        <w:t xml:space="preserve"> </w:t>
      </w:r>
      <w:r>
        <w:rPr>
          <w:rFonts w:asciiTheme="majorBidi" w:hAnsiTheme="majorBidi" w:cstheme="majorBidi"/>
          <w:sz w:val="24"/>
          <w:szCs w:val="24"/>
          <w:u w:val="single"/>
        </w:rPr>
        <w:t xml:space="preserve">have more than </w:t>
      </w:r>
      <w:r w:rsidR="00FD2EAD">
        <w:rPr>
          <w:rFonts w:asciiTheme="majorBidi" w:hAnsiTheme="majorBidi" w:cstheme="majorBidi"/>
          <w:sz w:val="24"/>
          <w:szCs w:val="24"/>
          <w:u w:val="single"/>
        </w:rPr>
        <w:t>30</w:t>
      </w:r>
      <w:r>
        <w:rPr>
          <w:rFonts w:asciiTheme="majorBidi" w:hAnsiTheme="majorBidi" w:cstheme="majorBidi"/>
          <w:sz w:val="24"/>
          <w:szCs w:val="24"/>
          <w:u w:val="single"/>
        </w:rPr>
        <w:t xml:space="preserve"> and at or less than 80 </w:t>
      </w:r>
      <w:r>
        <w:rPr>
          <w:rFonts w:asciiTheme="majorBidi" w:hAnsiTheme="majorBidi" w:cstheme="majorBidi"/>
          <w:b/>
          <w:bCs/>
          <w:sz w:val="24"/>
          <w:szCs w:val="24"/>
          <w:u w:val="single"/>
        </w:rPr>
        <w:t>dwelling units</w:t>
      </w:r>
      <w:r>
        <w:rPr>
          <w:rFonts w:asciiTheme="majorBidi" w:hAnsiTheme="majorBidi" w:cstheme="majorBidi"/>
          <w:sz w:val="24"/>
          <w:szCs w:val="24"/>
          <w:u w:val="single"/>
        </w:rPr>
        <w:t xml:space="preserve"> or </w:t>
      </w:r>
      <w:r>
        <w:rPr>
          <w:rFonts w:asciiTheme="majorBidi" w:hAnsiTheme="majorBidi" w:cstheme="majorBidi"/>
          <w:b/>
          <w:bCs/>
          <w:sz w:val="24"/>
          <w:szCs w:val="24"/>
          <w:u w:val="single"/>
        </w:rPr>
        <w:t xml:space="preserve">lots </w:t>
      </w:r>
      <w:r>
        <w:rPr>
          <w:rFonts w:asciiTheme="majorBidi" w:hAnsiTheme="majorBidi" w:cstheme="majorBidi"/>
          <w:sz w:val="24"/>
          <w:szCs w:val="24"/>
          <w:u w:val="single"/>
        </w:rPr>
        <w:t>and primarily use one access road as of November 12</w:t>
      </w:r>
      <w:r>
        <w:rPr>
          <w:rFonts w:asciiTheme="majorBidi" w:hAnsiTheme="majorBidi" w:cstheme="majorBidi"/>
          <w:sz w:val="24"/>
          <w:szCs w:val="24"/>
          <w:u w:val="single"/>
          <w:vertAlign w:val="superscript"/>
        </w:rPr>
        <w:t>th</w:t>
      </w:r>
      <w:r>
        <w:rPr>
          <w:rFonts w:asciiTheme="majorBidi" w:hAnsiTheme="majorBidi" w:cstheme="majorBidi"/>
          <w:sz w:val="24"/>
          <w:szCs w:val="24"/>
          <w:u w:val="single"/>
        </w:rPr>
        <w:t xml:space="preserve"> 2024 further </w:t>
      </w:r>
      <w:r>
        <w:rPr>
          <w:rFonts w:asciiTheme="majorBidi" w:hAnsiTheme="majorBidi" w:cstheme="majorBidi"/>
          <w:b/>
          <w:bCs/>
          <w:sz w:val="24"/>
          <w:szCs w:val="24"/>
          <w:u w:val="single"/>
        </w:rPr>
        <w:t>development</w:t>
      </w:r>
      <w:r>
        <w:rPr>
          <w:rFonts w:asciiTheme="majorBidi" w:hAnsiTheme="majorBidi" w:cstheme="majorBidi"/>
          <w:sz w:val="24"/>
          <w:szCs w:val="24"/>
          <w:u w:val="single"/>
        </w:rPr>
        <w:t xml:space="preserve"> on a </w:t>
      </w:r>
      <w:r>
        <w:rPr>
          <w:rFonts w:asciiTheme="majorBidi" w:hAnsiTheme="majorBidi" w:cstheme="majorBidi"/>
          <w:b/>
          <w:bCs/>
          <w:sz w:val="24"/>
          <w:szCs w:val="24"/>
          <w:u w:val="single"/>
        </w:rPr>
        <w:t>cul-de-sac</w:t>
      </w:r>
      <w:r>
        <w:rPr>
          <w:rFonts w:asciiTheme="majorBidi" w:hAnsiTheme="majorBidi" w:cstheme="majorBidi"/>
          <w:sz w:val="24"/>
          <w:szCs w:val="24"/>
          <w:u w:val="single"/>
        </w:rPr>
        <w:t xml:space="preserve"> may be allowed provided that the policy goals set by the County Manager for such </w:t>
      </w:r>
      <w:r>
        <w:rPr>
          <w:rFonts w:asciiTheme="majorBidi" w:hAnsiTheme="majorBidi" w:cstheme="majorBidi"/>
          <w:b/>
          <w:bCs/>
          <w:sz w:val="24"/>
          <w:szCs w:val="24"/>
          <w:u w:val="single"/>
        </w:rPr>
        <w:t>development</w:t>
      </w:r>
      <w:r>
        <w:rPr>
          <w:rFonts w:asciiTheme="majorBidi" w:hAnsiTheme="majorBidi" w:cstheme="majorBidi"/>
          <w:sz w:val="24"/>
          <w:szCs w:val="24"/>
          <w:u w:val="single"/>
        </w:rPr>
        <w:t xml:space="preserve"> are considered and, where appropriate, implemented.</w:t>
      </w:r>
    </w:p>
    <w:p w14:paraId="07CA2DF6" w14:textId="043655CC" w:rsidR="00B2761B" w:rsidRDefault="00B2761B" w:rsidP="00B2761B">
      <w:pPr>
        <w:jc w:val="both"/>
        <w:rPr>
          <w:rFonts w:asciiTheme="majorBidi" w:hAnsiTheme="majorBidi" w:cstheme="majorBidi"/>
          <w:sz w:val="24"/>
          <w:szCs w:val="24"/>
          <w:u w:val="single"/>
        </w:rPr>
      </w:pPr>
      <w:r>
        <w:rPr>
          <w:rFonts w:asciiTheme="majorBidi" w:hAnsiTheme="majorBidi" w:cstheme="majorBidi"/>
          <w:sz w:val="24"/>
          <w:szCs w:val="24"/>
          <w:u w:val="single"/>
        </w:rPr>
        <w:t xml:space="preserve">B. For existing </w:t>
      </w:r>
      <w:r>
        <w:rPr>
          <w:rFonts w:asciiTheme="majorBidi" w:hAnsiTheme="majorBidi" w:cstheme="majorBidi"/>
          <w:b/>
          <w:bCs/>
          <w:sz w:val="24"/>
          <w:szCs w:val="24"/>
          <w:u w:val="single"/>
        </w:rPr>
        <w:t>developments</w:t>
      </w:r>
      <w:r>
        <w:rPr>
          <w:rFonts w:asciiTheme="majorBidi" w:hAnsiTheme="majorBidi" w:cstheme="majorBidi"/>
          <w:sz w:val="24"/>
          <w:szCs w:val="24"/>
          <w:u w:val="single"/>
        </w:rPr>
        <w:t xml:space="preserve"> that have over 80 </w:t>
      </w:r>
      <w:r>
        <w:rPr>
          <w:rFonts w:asciiTheme="majorBidi" w:hAnsiTheme="majorBidi" w:cstheme="majorBidi"/>
          <w:b/>
          <w:bCs/>
          <w:sz w:val="24"/>
          <w:szCs w:val="24"/>
          <w:u w:val="single"/>
        </w:rPr>
        <w:t>dwellings units</w:t>
      </w:r>
      <w:r>
        <w:rPr>
          <w:rFonts w:asciiTheme="majorBidi" w:hAnsiTheme="majorBidi" w:cstheme="majorBidi"/>
          <w:sz w:val="24"/>
          <w:szCs w:val="24"/>
          <w:u w:val="single"/>
        </w:rPr>
        <w:t xml:space="preserve"> or </w:t>
      </w:r>
      <w:r>
        <w:rPr>
          <w:rFonts w:asciiTheme="majorBidi" w:hAnsiTheme="majorBidi" w:cstheme="majorBidi"/>
          <w:b/>
          <w:bCs/>
          <w:sz w:val="24"/>
          <w:szCs w:val="24"/>
          <w:u w:val="single"/>
        </w:rPr>
        <w:t xml:space="preserve">lots </w:t>
      </w:r>
      <w:r>
        <w:rPr>
          <w:rFonts w:asciiTheme="majorBidi" w:hAnsiTheme="majorBidi" w:cstheme="majorBidi"/>
          <w:sz w:val="24"/>
          <w:szCs w:val="24"/>
          <w:u w:val="single"/>
        </w:rPr>
        <w:t>and primarily use one access road as of November 12</w:t>
      </w:r>
      <w:r>
        <w:rPr>
          <w:rFonts w:asciiTheme="majorBidi" w:hAnsiTheme="majorBidi" w:cstheme="majorBidi"/>
          <w:sz w:val="24"/>
          <w:szCs w:val="24"/>
          <w:u w:val="single"/>
          <w:vertAlign w:val="superscript"/>
        </w:rPr>
        <w:t>th</w:t>
      </w:r>
      <w:r>
        <w:rPr>
          <w:rFonts w:asciiTheme="majorBidi" w:hAnsiTheme="majorBidi" w:cstheme="majorBidi"/>
          <w:sz w:val="24"/>
          <w:szCs w:val="24"/>
          <w:u w:val="single"/>
        </w:rPr>
        <w:t xml:space="preserve"> 2024 (Pebble Creek/Pebbleridge accessed off of South Bend Drive, Lake Alapaha accessed off of Lake Alapaha Boulevard, Kinderlou Forest, Walker Run, Quarterman Crossing, and White Oaks accessed </w:t>
      </w:r>
      <w:r w:rsidR="00B076C8">
        <w:rPr>
          <w:rFonts w:asciiTheme="majorBidi" w:hAnsiTheme="majorBidi" w:cstheme="majorBidi"/>
          <w:sz w:val="24"/>
          <w:szCs w:val="24"/>
          <w:u w:val="single"/>
        </w:rPr>
        <w:t xml:space="preserve">off </w:t>
      </w:r>
      <w:r>
        <w:rPr>
          <w:rFonts w:asciiTheme="majorBidi" w:hAnsiTheme="majorBidi" w:cstheme="majorBidi"/>
          <w:sz w:val="24"/>
          <w:szCs w:val="24"/>
          <w:u w:val="single"/>
        </w:rPr>
        <w:t xml:space="preserve">of Idlewood Drive) further </w:t>
      </w:r>
      <w:r>
        <w:rPr>
          <w:rFonts w:asciiTheme="majorBidi" w:hAnsiTheme="majorBidi" w:cstheme="majorBidi"/>
          <w:b/>
          <w:bCs/>
          <w:sz w:val="24"/>
          <w:szCs w:val="24"/>
          <w:u w:val="single"/>
        </w:rPr>
        <w:t xml:space="preserve">development </w:t>
      </w:r>
      <w:r>
        <w:rPr>
          <w:rFonts w:asciiTheme="majorBidi" w:hAnsiTheme="majorBidi" w:cstheme="majorBidi"/>
          <w:sz w:val="24"/>
          <w:szCs w:val="24"/>
          <w:u w:val="single"/>
        </w:rPr>
        <w:t>shall not be restricted by 6.01.02(F)(2)(a).</w:t>
      </w:r>
    </w:p>
    <w:p w14:paraId="7251F5AE" w14:textId="77777777" w:rsidR="00B2761B" w:rsidRDefault="00B2761B" w:rsidP="00B2761B">
      <w:pPr>
        <w:rPr>
          <w:rFonts w:asciiTheme="majorBidi" w:hAnsiTheme="majorBidi" w:cstheme="majorBidi"/>
          <w:sz w:val="24"/>
          <w:szCs w:val="24"/>
        </w:rPr>
      </w:pPr>
    </w:p>
    <w:p w14:paraId="4D4B00B5"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9.02.00 Variances</w:t>
      </w:r>
    </w:p>
    <w:p w14:paraId="5166FA31"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9.02.02 Types of Variances</w:t>
      </w:r>
    </w:p>
    <w:p w14:paraId="76990CDA"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 xml:space="preserve">B. Variances shall be allowed from the requirements set forth in Chapters 3, 4, 5, 6, </w:t>
      </w:r>
      <w:r>
        <w:rPr>
          <w:rFonts w:asciiTheme="majorBidi" w:hAnsiTheme="majorBidi" w:cstheme="majorBidi"/>
          <w:strike/>
          <w:sz w:val="24"/>
          <w:szCs w:val="24"/>
        </w:rPr>
        <w:t xml:space="preserve">and </w:t>
      </w:r>
      <w:r>
        <w:rPr>
          <w:rFonts w:asciiTheme="majorBidi" w:hAnsiTheme="majorBidi" w:cstheme="majorBidi"/>
          <w:sz w:val="24"/>
          <w:szCs w:val="24"/>
        </w:rPr>
        <w:t>Section 9.01.00 of Chapter 9</w:t>
      </w:r>
      <w:r>
        <w:rPr>
          <w:rFonts w:asciiTheme="majorBidi" w:hAnsiTheme="majorBidi" w:cstheme="majorBidi"/>
          <w:sz w:val="24"/>
          <w:szCs w:val="24"/>
          <w:u w:val="single"/>
        </w:rPr>
        <w:t xml:space="preserve">, and Appendix D of the IFC as amended by the State of Georgia related to </w:t>
      </w:r>
      <w:r>
        <w:rPr>
          <w:rFonts w:asciiTheme="majorBidi" w:hAnsiTheme="majorBidi" w:cstheme="majorBidi"/>
          <w:b/>
          <w:bCs/>
          <w:sz w:val="24"/>
          <w:szCs w:val="24"/>
          <w:u w:val="single"/>
        </w:rPr>
        <w:t>cul-de-sacs</w:t>
      </w:r>
      <w:r>
        <w:rPr>
          <w:rFonts w:asciiTheme="majorBidi" w:hAnsiTheme="majorBidi" w:cstheme="majorBidi"/>
          <w:sz w:val="24"/>
          <w:szCs w:val="24"/>
          <w:u w:val="single"/>
        </w:rPr>
        <w:t xml:space="preserve"> and fire apparatus access roads</w:t>
      </w:r>
      <w:r>
        <w:rPr>
          <w:rFonts w:asciiTheme="majorBidi" w:hAnsiTheme="majorBidi" w:cstheme="majorBidi"/>
          <w:sz w:val="24"/>
          <w:szCs w:val="24"/>
        </w:rPr>
        <w:t>, provided however:</w:t>
      </w:r>
    </w:p>
    <w:p w14:paraId="688F0C57" w14:textId="77777777" w:rsidR="00B2761B" w:rsidRDefault="00B2761B" w:rsidP="00B2761B">
      <w:pPr>
        <w:rPr>
          <w:rFonts w:asciiTheme="majorBidi" w:hAnsiTheme="majorBidi" w:cstheme="majorBidi"/>
          <w:sz w:val="24"/>
          <w:szCs w:val="24"/>
        </w:rPr>
      </w:pPr>
      <w:r>
        <w:rPr>
          <w:rFonts w:asciiTheme="majorBidi" w:hAnsiTheme="majorBidi" w:cstheme="majorBidi"/>
          <w:sz w:val="24"/>
          <w:szCs w:val="24"/>
        </w:rPr>
        <w:t xml:space="preserve">2.  The </w:t>
      </w:r>
      <w:r>
        <w:rPr>
          <w:rFonts w:asciiTheme="majorBidi" w:hAnsiTheme="majorBidi" w:cstheme="majorBidi"/>
          <w:strike/>
          <w:sz w:val="24"/>
          <w:szCs w:val="24"/>
        </w:rPr>
        <w:t xml:space="preserve">number of lots </w:t>
      </w:r>
      <w:r>
        <w:rPr>
          <w:rFonts w:asciiTheme="majorBidi" w:hAnsiTheme="majorBidi" w:cstheme="majorBidi"/>
          <w:sz w:val="24"/>
          <w:szCs w:val="24"/>
          <w:u w:val="single"/>
        </w:rPr>
        <w:t>amount of development allowed</w:t>
      </w:r>
      <w:r>
        <w:rPr>
          <w:rFonts w:asciiTheme="majorBidi" w:hAnsiTheme="majorBidi" w:cstheme="majorBidi"/>
          <w:sz w:val="24"/>
          <w:szCs w:val="24"/>
        </w:rPr>
        <w:t xml:space="preserve"> on a </w:t>
      </w:r>
      <w:r>
        <w:rPr>
          <w:rFonts w:asciiTheme="majorBidi" w:hAnsiTheme="majorBidi" w:cstheme="majorBidi"/>
          <w:b/>
          <w:bCs/>
          <w:sz w:val="24"/>
          <w:szCs w:val="24"/>
        </w:rPr>
        <w:t>cul-de-sac</w:t>
      </w:r>
      <w:r>
        <w:rPr>
          <w:rFonts w:asciiTheme="majorBidi" w:hAnsiTheme="majorBidi" w:cstheme="majorBidi"/>
          <w:strike/>
          <w:sz w:val="24"/>
          <w:szCs w:val="24"/>
        </w:rPr>
        <w:t xml:space="preserve"> allowed </w:t>
      </w:r>
      <w:r>
        <w:rPr>
          <w:rFonts w:asciiTheme="majorBidi" w:hAnsiTheme="majorBidi" w:cstheme="majorBidi"/>
          <w:sz w:val="24"/>
          <w:szCs w:val="24"/>
        </w:rPr>
        <w:t xml:space="preserve">by Chapter 6 </w:t>
      </w:r>
      <w:r>
        <w:rPr>
          <w:rFonts w:asciiTheme="majorBidi" w:hAnsiTheme="majorBidi" w:cstheme="majorBidi"/>
          <w:strike/>
          <w:sz w:val="24"/>
          <w:szCs w:val="24"/>
        </w:rPr>
        <w:t>Chapters 4 and 6</w:t>
      </w:r>
      <w:r>
        <w:rPr>
          <w:rFonts w:asciiTheme="majorBidi" w:hAnsiTheme="majorBidi" w:cstheme="majorBidi"/>
          <w:sz w:val="24"/>
          <w:szCs w:val="24"/>
        </w:rPr>
        <w:t xml:space="preserve"> shall not be increased.  </w:t>
      </w:r>
    </w:p>
    <w:p w14:paraId="2B182D5F" w14:textId="77777777" w:rsidR="00B2761B" w:rsidRPr="00B2761B" w:rsidRDefault="00B2761B" w:rsidP="00B2761B">
      <w:pPr>
        <w:ind w:left="360"/>
        <w:jc w:val="both"/>
        <w:rPr>
          <w:rFonts w:asciiTheme="majorBidi" w:hAnsiTheme="majorBidi" w:cstheme="majorBidi"/>
          <w:sz w:val="24"/>
          <w:szCs w:val="24"/>
        </w:rPr>
      </w:pPr>
    </w:p>
    <w:p w14:paraId="4DED22DF" w14:textId="77777777" w:rsidR="00844964" w:rsidRDefault="00844964" w:rsidP="00844964">
      <w:pPr>
        <w:jc w:val="both"/>
        <w:rPr>
          <w:rFonts w:asciiTheme="majorBidi" w:hAnsiTheme="majorBidi" w:cstheme="majorBidi"/>
          <w:sz w:val="24"/>
          <w:szCs w:val="24"/>
        </w:rPr>
      </w:pPr>
    </w:p>
    <w:p w14:paraId="0ADB7835" w14:textId="77777777" w:rsidR="00BE51AB" w:rsidRPr="00A14900" w:rsidRDefault="00BE51AB" w:rsidP="00BE51AB">
      <w:pPr>
        <w:jc w:val="both"/>
        <w:rPr>
          <w:rFonts w:asciiTheme="majorBidi" w:hAnsiTheme="majorBidi" w:cstheme="majorBidi"/>
          <w:sz w:val="24"/>
          <w:szCs w:val="24"/>
        </w:rPr>
      </w:pPr>
    </w:p>
    <w:sectPr w:rsidR="00BE51AB" w:rsidRPr="00A149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D57F" w14:textId="77777777" w:rsidR="000B1B86" w:rsidRDefault="000B1B86" w:rsidP="00A256D7">
      <w:pPr>
        <w:spacing w:after="0" w:line="240" w:lineRule="auto"/>
      </w:pPr>
      <w:r>
        <w:separator/>
      </w:r>
    </w:p>
  </w:endnote>
  <w:endnote w:type="continuationSeparator" w:id="0">
    <w:p w14:paraId="0A0B554A" w14:textId="77777777" w:rsidR="000B1B86" w:rsidRDefault="000B1B86" w:rsidP="00A2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73602"/>
      <w:docPartObj>
        <w:docPartGallery w:val="Page Numbers (Bottom of Page)"/>
        <w:docPartUnique/>
      </w:docPartObj>
    </w:sdtPr>
    <w:sdtEndPr>
      <w:rPr>
        <w:rFonts w:asciiTheme="majorBidi" w:hAnsiTheme="majorBidi" w:cstheme="majorBidi"/>
        <w:noProof/>
      </w:rPr>
    </w:sdtEndPr>
    <w:sdtContent>
      <w:p w14:paraId="67FC5D78" w14:textId="47775586" w:rsidR="00A256D7" w:rsidRPr="00A256D7" w:rsidRDefault="00A256D7">
        <w:pPr>
          <w:pStyle w:val="Footer"/>
          <w:jc w:val="right"/>
          <w:rPr>
            <w:rFonts w:asciiTheme="majorBidi" w:hAnsiTheme="majorBidi" w:cstheme="majorBidi"/>
          </w:rPr>
        </w:pPr>
        <w:r w:rsidRPr="00A256D7">
          <w:rPr>
            <w:rFonts w:asciiTheme="majorBidi" w:hAnsiTheme="majorBidi" w:cstheme="majorBidi"/>
          </w:rPr>
          <w:fldChar w:fldCharType="begin"/>
        </w:r>
        <w:r w:rsidRPr="00A256D7">
          <w:rPr>
            <w:rFonts w:asciiTheme="majorBidi" w:hAnsiTheme="majorBidi" w:cstheme="majorBidi"/>
          </w:rPr>
          <w:instrText xml:space="preserve"> PAGE   \* MERGEFORMAT </w:instrText>
        </w:r>
        <w:r w:rsidRPr="00A256D7">
          <w:rPr>
            <w:rFonts w:asciiTheme="majorBidi" w:hAnsiTheme="majorBidi" w:cstheme="majorBidi"/>
          </w:rPr>
          <w:fldChar w:fldCharType="separate"/>
        </w:r>
        <w:r w:rsidRPr="00A256D7">
          <w:rPr>
            <w:rFonts w:asciiTheme="majorBidi" w:hAnsiTheme="majorBidi" w:cstheme="majorBidi"/>
            <w:noProof/>
          </w:rPr>
          <w:t>2</w:t>
        </w:r>
        <w:r w:rsidRPr="00A256D7">
          <w:rPr>
            <w:rFonts w:asciiTheme="majorBidi" w:hAnsiTheme="majorBidi" w:cstheme="majorBidi"/>
            <w:noProof/>
          </w:rPr>
          <w:fldChar w:fldCharType="end"/>
        </w:r>
      </w:p>
    </w:sdtContent>
  </w:sdt>
  <w:p w14:paraId="15DEB2A1" w14:textId="77777777" w:rsidR="00A256D7" w:rsidRDefault="00A2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6A0F" w14:textId="77777777" w:rsidR="000B1B86" w:rsidRDefault="000B1B86" w:rsidP="00A256D7">
      <w:pPr>
        <w:spacing w:after="0" w:line="240" w:lineRule="auto"/>
      </w:pPr>
      <w:r>
        <w:separator/>
      </w:r>
    </w:p>
  </w:footnote>
  <w:footnote w:type="continuationSeparator" w:id="0">
    <w:p w14:paraId="47187278" w14:textId="77777777" w:rsidR="000B1B86" w:rsidRDefault="000B1B86" w:rsidP="00A2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F15"/>
    <w:multiLevelType w:val="hybridMultilevel"/>
    <w:tmpl w:val="B7C0E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96466"/>
    <w:multiLevelType w:val="hybridMultilevel"/>
    <w:tmpl w:val="821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241F8"/>
    <w:multiLevelType w:val="hybridMultilevel"/>
    <w:tmpl w:val="488EE2B4"/>
    <w:lvl w:ilvl="0" w:tplc="3B12B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543DA4"/>
    <w:multiLevelType w:val="hybridMultilevel"/>
    <w:tmpl w:val="AA7E3C9A"/>
    <w:lvl w:ilvl="0" w:tplc="5BFAE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00"/>
    <w:rsid w:val="0005078B"/>
    <w:rsid w:val="0008448C"/>
    <w:rsid w:val="00094E11"/>
    <w:rsid w:val="000B1B86"/>
    <w:rsid w:val="000B584D"/>
    <w:rsid w:val="000F3390"/>
    <w:rsid w:val="000F45A3"/>
    <w:rsid w:val="00120A43"/>
    <w:rsid w:val="0014157B"/>
    <w:rsid w:val="001467F6"/>
    <w:rsid w:val="00167781"/>
    <w:rsid w:val="0018612F"/>
    <w:rsid w:val="0019046B"/>
    <w:rsid w:val="00190FC9"/>
    <w:rsid w:val="001C3294"/>
    <w:rsid w:val="001C6D4E"/>
    <w:rsid w:val="001E23B7"/>
    <w:rsid w:val="00201523"/>
    <w:rsid w:val="002170F8"/>
    <w:rsid w:val="00284C65"/>
    <w:rsid w:val="002C2B8F"/>
    <w:rsid w:val="0030452F"/>
    <w:rsid w:val="0031580A"/>
    <w:rsid w:val="003B0874"/>
    <w:rsid w:val="00433DE0"/>
    <w:rsid w:val="00462FDA"/>
    <w:rsid w:val="00495B23"/>
    <w:rsid w:val="004A07B7"/>
    <w:rsid w:val="004D1F3B"/>
    <w:rsid w:val="00516B05"/>
    <w:rsid w:val="00534D68"/>
    <w:rsid w:val="00555B46"/>
    <w:rsid w:val="00562474"/>
    <w:rsid w:val="005B40A0"/>
    <w:rsid w:val="005E3A08"/>
    <w:rsid w:val="006174CE"/>
    <w:rsid w:val="0064549B"/>
    <w:rsid w:val="00696969"/>
    <w:rsid w:val="006C1C4F"/>
    <w:rsid w:val="0071006C"/>
    <w:rsid w:val="00771FC6"/>
    <w:rsid w:val="007E5878"/>
    <w:rsid w:val="007F0C31"/>
    <w:rsid w:val="00804EC7"/>
    <w:rsid w:val="00834E6F"/>
    <w:rsid w:val="00844964"/>
    <w:rsid w:val="00847B39"/>
    <w:rsid w:val="008678B2"/>
    <w:rsid w:val="008729D4"/>
    <w:rsid w:val="0087597C"/>
    <w:rsid w:val="00897827"/>
    <w:rsid w:val="008D2F6F"/>
    <w:rsid w:val="0092672B"/>
    <w:rsid w:val="00931CB0"/>
    <w:rsid w:val="009D7DC6"/>
    <w:rsid w:val="00A03CD9"/>
    <w:rsid w:val="00A14900"/>
    <w:rsid w:val="00A256D7"/>
    <w:rsid w:val="00A33F24"/>
    <w:rsid w:val="00A411B8"/>
    <w:rsid w:val="00A464D2"/>
    <w:rsid w:val="00A50DEA"/>
    <w:rsid w:val="00AA2E7C"/>
    <w:rsid w:val="00AA726B"/>
    <w:rsid w:val="00B04BE5"/>
    <w:rsid w:val="00B076C8"/>
    <w:rsid w:val="00B26591"/>
    <w:rsid w:val="00B2761B"/>
    <w:rsid w:val="00B661E2"/>
    <w:rsid w:val="00BB57DA"/>
    <w:rsid w:val="00BE51AB"/>
    <w:rsid w:val="00C34220"/>
    <w:rsid w:val="00CC22FA"/>
    <w:rsid w:val="00CD56DF"/>
    <w:rsid w:val="00D52446"/>
    <w:rsid w:val="00DB33D6"/>
    <w:rsid w:val="00E007B6"/>
    <w:rsid w:val="00E21F94"/>
    <w:rsid w:val="00E23421"/>
    <w:rsid w:val="00E36A80"/>
    <w:rsid w:val="00E606B9"/>
    <w:rsid w:val="00E878C0"/>
    <w:rsid w:val="00EC3494"/>
    <w:rsid w:val="00ED7870"/>
    <w:rsid w:val="00EF50E5"/>
    <w:rsid w:val="00EF6CA6"/>
    <w:rsid w:val="00F02849"/>
    <w:rsid w:val="00F40689"/>
    <w:rsid w:val="00F731B9"/>
    <w:rsid w:val="00F75161"/>
    <w:rsid w:val="00F851FE"/>
    <w:rsid w:val="00F95955"/>
    <w:rsid w:val="00FC4255"/>
    <w:rsid w:val="00FC7EE1"/>
    <w:rsid w:val="00FD2E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491A"/>
  <w15:chartTrackingRefBased/>
  <w15:docId w15:val="{82A0C465-8776-47D8-8928-9AA084E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00"/>
    <w:rPr>
      <w:rFonts w:eastAsiaTheme="majorEastAsia" w:cstheme="majorBidi"/>
      <w:color w:val="272727" w:themeColor="text1" w:themeTint="D8"/>
    </w:rPr>
  </w:style>
  <w:style w:type="paragraph" w:styleId="Title">
    <w:name w:val="Title"/>
    <w:basedOn w:val="Normal"/>
    <w:next w:val="Normal"/>
    <w:link w:val="TitleChar"/>
    <w:uiPriority w:val="10"/>
    <w:qFormat/>
    <w:rsid w:val="00A14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00"/>
    <w:pPr>
      <w:spacing w:before="160"/>
      <w:jc w:val="center"/>
    </w:pPr>
    <w:rPr>
      <w:i/>
      <w:iCs/>
      <w:color w:val="404040" w:themeColor="text1" w:themeTint="BF"/>
    </w:rPr>
  </w:style>
  <w:style w:type="character" w:customStyle="1" w:styleId="QuoteChar">
    <w:name w:val="Quote Char"/>
    <w:basedOn w:val="DefaultParagraphFont"/>
    <w:link w:val="Quote"/>
    <w:uiPriority w:val="29"/>
    <w:rsid w:val="00A14900"/>
    <w:rPr>
      <w:i/>
      <w:iCs/>
      <w:color w:val="404040" w:themeColor="text1" w:themeTint="BF"/>
    </w:rPr>
  </w:style>
  <w:style w:type="paragraph" w:styleId="ListParagraph">
    <w:name w:val="List Paragraph"/>
    <w:basedOn w:val="Normal"/>
    <w:uiPriority w:val="34"/>
    <w:qFormat/>
    <w:rsid w:val="00A14900"/>
    <w:pPr>
      <w:ind w:left="720"/>
      <w:contextualSpacing/>
    </w:pPr>
  </w:style>
  <w:style w:type="character" w:styleId="IntenseEmphasis">
    <w:name w:val="Intense Emphasis"/>
    <w:basedOn w:val="DefaultParagraphFont"/>
    <w:uiPriority w:val="21"/>
    <w:qFormat/>
    <w:rsid w:val="00A14900"/>
    <w:rPr>
      <w:i/>
      <w:iCs/>
      <w:color w:val="0F4761" w:themeColor="accent1" w:themeShade="BF"/>
    </w:rPr>
  </w:style>
  <w:style w:type="paragraph" w:styleId="IntenseQuote">
    <w:name w:val="Intense Quote"/>
    <w:basedOn w:val="Normal"/>
    <w:next w:val="Normal"/>
    <w:link w:val="IntenseQuoteChar"/>
    <w:uiPriority w:val="30"/>
    <w:qFormat/>
    <w:rsid w:val="00A14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900"/>
    <w:rPr>
      <w:i/>
      <w:iCs/>
      <w:color w:val="0F4761" w:themeColor="accent1" w:themeShade="BF"/>
    </w:rPr>
  </w:style>
  <w:style w:type="character" w:styleId="IntenseReference">
    <w:name w:val="Intense Reference"/>
    <w:basedOn w:val="DefaultParagraphFont"/>
    <w:uiPriority w:val="32"/>
    <w:qFormat/>
    <w:rsid w:val="00A14900"/>
    <w:rPr>
      <w:b/>
      <w:bCs/>
      <w:smallCaps/>
      <w:color w:val="0F4761" w:themeColor="accent1" w:themeShade="BF"/>
      <w:spacing w:val="5"/>
    </w:rPr>
  </w:style>
  <w:style w:type="paragraph" w:styleId="Header">
    <w:name w:val="header"/>
    <w:basedOn w:val="Normal"/>
    <w:link w:val="HeaderChar"/>
    <w:uiPriority w:val="99"/>
    <w:unhideWhenUsed/>
    <w:rsid w:val="00A2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D7"/>
  </w:style>
  <w:style w:type="paragraph" w:styleId="Footer">
    <w:name w:val="footer"/>
    <w:basedOn w:val="Normal"/>
    <w:link w:val="FooterChar"/>
    <w:uiPriority w:val="99"/>
    <w:unhideWhenUsed/>
    <w:rsid w:val="00A2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D7"/>
  </w:style>
  <w:style w:type="paragraph" w:styleId="FootnoteText">
    <w:name w:val="footnote text"/>
    <w:basedOn w:val="Normal"/>
    <w:link w:val="FootnoteTextChar"/>
    <w:uiPriority w:val="99"/>
    <w:semiHidden/>
    <w:unhideWhenUsed/>
    <w:rsid w:val="00120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A43"/>
    <w:rPr>
      <w:sz w:val="20"/>
      <w:szCs w:val="20"/>
    </w:rPr>
  </w:style>
  <w:style w:type="character" w:styleId="FootnoteReference">
    <w:name w:val="footnote reference"/>
    <w:basedOn w:val="DefaultParagraphFont"/>
    <w:uiPriority w:val="99"/>
    <w:semiHidden/>
    <w:unhideWhenUsed/>
    <w:rsid w:val="00120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2102-1A99-4289-A119-E8736E47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Davenport</dc:creator>
  <cp:keywords/>
  <dc:description/>
  <cp:lastModifiedBy>Jason Davenport</cp:lastModifiedBy>
  <cp:revision>48</cp:revision>
  <dcterms:created xsi:type="dcterms:W3CDTF">2024-11-11T23:27:00Z</dcterms:created>
  <dcterms:modified xsi:type="dcterms:W3CDTF">2024-11-12T17:35:00Z</dcterms:modified>
</cp:coreProperties>
</file>